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3A" w:rsidRDefault="00B654FD" w:rsidP="00B654FD">
      <w:pPr>
        <w:rPr>
          <w:b/>
        </w:rPr>
      </w:pPr>
      <w:r w:rsidRPr="00B654FD">
        <w:rPr>
          <w:b/>
        </w:rPr>
        <w:t>Synthèse travaux du Groupe de Travail</w:t>
      </w:r>
      <w:r w:rsidR="00347F3A">
        <w:rPr>
          <w:b/>
        </w:rPr>
        <w:t> :</w:t>
      </w:r>
    </w:p>
    <w:p w:rsidR="009445E6" w:rsidRPr="00AA5063" w:rsidRDefault="00B654FD" w:rsidP="00AA5063">
      <w:pPr>
        <w:jc w:val="both"/>
        <w:rPr>
          <w:rFonts w:ascii="Times New Roman" w:hAnsi="Times New Roman"/>
          <w:b/>
          <w:i/>
          <w:color w:val="385623" w:themeColor="accent6" w:themeShade="80"/>
          <w:sz w:val="28"/>
          <w:szCs w:val="28"/>
        </w:rPr>
      </w:pPr>
      <w:r w:rsidRPr="00B654FD">
        <w:rPr>
          <w:b/>
        </w:rPr>
        <w:t xml:space="preserve"> «</w:t>
      </w:r>
      <w:r w:rsidR="00347F3A">
        <w:rPr>
          <w:b/>
        </w:rPr>
        <w:t xml:space="preserve"> </w:t>
      </w:r>
      <w:r w:rsidR="00347F3A" w:rsidRPr="00AA5063">
        <w:rPr>
          <w:rFonts w:ascii="Times New Roman" w:hAnsi="Times New Roman"/>
          <w:b/>
          <w:i/>
          <w:color w:val="385623" w:themeColor="accent6" w:themeShade="80"/>
          <w:sz w:val="28"/>
          <w:szCs w:val="28"/>
        </w:rPr>
        <w:t>Etre mieux accompagné pour mieux vivre le myélome au quotidien</w:t>
      </w:r>
      <w:r w:rsidR="00AA5063" w:rsidRPr="00AA5063">
        <w:rPr>
          <w:rFonts w:ascii="Times New Roman" w:hAnsi="Times New Roman"/>
          <w:b/>
          <w:i/>
          <w:color w:val="385623" w:themeColor="accent6" w:themeShade="80"/>
          <w:sz w:val="28"/>
          <w:szCs w:val="28"/>
        </w:rPr>
        <w:t> :</w:t>
      </w:r>
      <w:r w:rsidRPr="00AA5063">
        <w:rPr>
          <w:rFonts w:ascii="Times New Roman" w:hAnsi="Times New Roman"/>
          <w:b/>
          <w:i/>
          <w:color w:val="385623" w:themeColor="accent6" w:themeShade="80"/>
          <w:sz w:val="28"/>
          <w:szCs w:val="28"/>
        </w:rPr>
        <w:t xml:space="preserve"> élaboration multicentrique et pluri-professionnelle d’un référentiel de compétences du patient atteint d’un myélome multiple »</w:t>
      </w:r>
    </w:p>
    <w:p w:rsidR="00F103E0" w:rsidRPr="00AA5063" w:rsidRDefault="00F103E0" w:rsidP="00F103E0">
      <w:pPr>
        <w:spacing w:before="200"/>
        <w:jc w:val="both"/>
        <w:rPr>
          <w:rFonts w:eastAsia="MS Mincho"/>
          <w:sz w:val="24"/>
          <w:szCs w:val="24"/>
        </w:rPr>
      </w:pPr>
      <w:r w:rsidRPr="00AA5063">
        <w:rPr>
          <w:sz w:val="24"/>
          <w:szCs w:val="24"/>
        </w:rPr>
        <w:t xml:space="preserve">Les études et enquêtes réalisées par l’AF3M depuis 2013 ont montré sans ambiguïté </w:t>
      </w:r>
      <w:r w:rsidR="00B654FD" w:rsidRPr="00AA5063">
        <w:rPr>
          <w:sz w:val="24"/>
          <w:szCs w:val="24"/>
        </w:rPr>
        <w:t xml:space="preserve">qu’en </w:t>
      </w:r>
      <w:r w:rsidR="00B654FD" w:rsidRPr="00AA5063">
        <w:rPr>
          <w:rFonts w:eastAsia="MS Mincho"/>
          <w:sz w:val="24"/>
          <w:szCs w:val="24"/>
        </w:rPr>
        <w:t>dépit</w:t>
      </w:r>
      <w:r w:rsidRPr="00AA5063">
        <w:rPr>
          <w:rFonts w:eastAsia="MS Mincho"/>
          <w:sz w:val="24"/>
          <w:szCs w:val="24"/>
        </w:rPr>
        <w:t xml:space="preserve"> des évolutions majeures des traitements, et de nombreux progrès thérapeutiques attendus pour les prochaines années</w:t>
      </w:r>
      <w:r w:rsidR="00AA5063" w:rsidRPr="00AA5063">
        <w:rPr>
          <w:rFonts w:eastAsia="MS Mincho"/>
          <w:sz w:val="24"/>
          <w:szCs w:val="24"/>
        </w:rPr>
        <w:t>,</w:t>
      </w:r>
      <w:r w:rsidRPr="00AA5063">
        <w:rPr>
          <w:rFonts w:eastAsia="MS Mincho"/>
          <w:sz w:val="24"/>
          <w:szCs w:val="24"/>
        </w:rPr>
        <w:t xml:space="preserve"> le myélome multiple reste une maladie qui </w:t>
      </w:r>
      <w:r w:rsidR="00AA5063" w:rsidRPr="00AA5063">
        <w:rPr>
          <w:rFonts w:eastAsia="MS Mincho"/>
          <w:sz w:val="24"/>
          <w:szCs w:val="24"/>
        </w:rPr>
        <w:t xml:space="preserve">affecte </w:t>
      </w:r>
      <w:r w:rsidRPr="00AA5063">
        <w:rPr>
          <w:rFonts w:eastAsia="MS Mincho"/>
          <w:sz w:val="24"/>
          <w:szCs w:val="24"/>
        </w:rPr>
        <w:t xml:space="preserve">très souvent la qualité de vie des patients. </w:t>
      </w:r>
    </w:p>
    <w:p w:rsidR="00F103E0" w:rsidRPr="00AA5063" w:rsidRDefault="00F103E0" w:rsidP="00F103E0">
      <w:pPr>
        <w:spacing w:before="200"/>
        <w:jc w:val="both"/>
        <w:rPr>
          <w:rFonts w:eastAsia="MS Mincho"/>
          <w:sz w:val="24"/>
          <w:szCs w:val="24"/>
        </w:rPr>
      </w:pPr>
      <w:r w:rsidRPr="00AA5063">
        <w:rPr>
          <w:rFonts w:eastAsia="MS Mincho"/>
          <w:sz w:val="24"/>
          <w:szCs w:val="24"/>
        </w:rPr>
        <w:t>En effet et dès l’annonce du diagnostic, les malades sont nombreux à exprimer des sentiments d’isolement</w:t>
      </w:r>
      <w:r w:rsidR="004C5FF7" w:rsidRPr="00AA5063">
        <w:rPr>
          <w:rFonts w:eastAsia="MS Mincho"/>
          <w:sz w:val="24"/>
          <w:szCs w:val="24"/>
        </w:rPr>
        <w:t>,</w:t>
      </w:r>
      <w:r w:rsidRPr="00AA5063">
        <w:rPr>
          <w:rFonts w:eastAsia="MS Mincho"/>
          <w:sz w:val="24"/>
          <w:szCs w:val="24"/>
        </w:rPr>
        <w:t xml:space="preserve"> </w:t>
      </w:r>
      <w:r w:rsidR="004B72E1" w:rsidRPr="00AA5063">
        <w:rPr>
          <w:rFonts w:eastAsia="MS Mincho"/>
          <w:sz w:val="24"/>
          <w:szCs w:val="24"/>
        </w:rPr>
        <w:t xml:space="preserve">voire </w:t>
      </w:r>
      <w:r w:rsidRPr="00AA5063">
        <w:rPr>
          <w:rFonts w:eastAsia="MS Mincho"/>
          <w:sz w:val="24"/>
          <w:szCs w:val="24"/>
        </w:rPr>
        <w:t>d’</w:t>
      </w:r>
      <w:r w:rsidR="004C5FF7" w:rsidRPr="00AA5063">
        <w:rPr>
          <w:rFonts w:eastAsia="MS Mincho"/>
          <w:sz w:val="24"/>
          <w:szCs w:val="24"/>
        </w:rPr>
        <w:t xml:space="preserve">incompréhension </w:t>
      </w:r>
      <w:r w:rsidRPr="00AA5063">
        <w:rPr>
          <w:rFonts w:eastAsia="MS Mincho"/>
          <w:sz w:val="24"/>
          <w:szCs w:val="24"/>
        </w:rPr>
        <w:t>face à la maladie. Ce ressenti constitue une « barrière d’ordre émotionnel » qui souvent génère chez les malades un manque de confiance face à l’avenir, contribue à une perte de motivation et par voie de conséquence d’autonomie.</w:t>
      </w:r>
    </w:p>
    <w:p w:rsidR="00F103E0" w:rsidRPr="00AA5063" w:rsidRDefault="00AA5063" w:rsidP="00F103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 a en outre été mis en exergue </w:t>
      </w:r>
      <w:r w:rsidR="00F103E0" w:rsidRPr="00AA5063">
        <w:rPr>
          <w:rFonts w:eastAsia="MS Mincho"/>
          <w:sz w:val="24"/>
          <w:szCs w:val="24"/>
        </w:rPr>
        <w:t>que les malades sont en attente croissante d’information</w:t>
      </w:r>
      <w:r w:rsidR="004B72E1" w:rsidRPr="00AA5063">
        <w:rPr>
          <w:rFonts w:eastAsia="MS Mincho"/>
          <w:sz w:val="24"/>
          <w:szCs w:val="24"/>
        </w:rPr>
        <w:t>s</w:t>
      </w:r>
      <w:r w:rsidR="00F103E0" w:rsidRPr="00AA5063">
        <w:rPr>
          <w:rFonts w:eastAsia="MS Mincho"/>
          <w:sz w:val="24"/>
          <w:szCs w:val="24"/>
        </w:rPr>
        <w:t xml:space="preserve"> et</w:t>
      </w:r>
      <w:r w:rsidR="004B72E1" w:rsidRPr="00AA5063">
        <w:rPr>
          <w:rFonts w:eastAsia="MS Mincho"/>
          <w:sz w:val="24"/>
          <w:szCs w:val="24"/>
        </w:rPr>
        <w:t xml:space="preserve"> de prise en charge d’accompagnement,</w:t>
      </w:r>
      <w:r w:rsidR="00F103E0" w:rsidRPr="00AA5063">
        <w:rPr>
          <w:rFonts w:eastAsia="MS Mincho"/>
          <w:sz w:val="24"/>
          <w:szCs w:val="24"/>
        </w:rPr>
        <w:t xml:space="preserve"> avec un positionnement très variable </w:t>
      </w:r>
      <w:r w:rsidR="00B01E09" w:rsidRPr="00AA5063">
        <w:rPr>
          <w:rFonts w:eastAsia="MS Mincho"/>
          <w:sz w:val="24"/>
          <w:szCs w:val="24"/>
        </w:rPr>
        <w:t>suivant les</w:t>
      </w:r>
      <w:r w:rsidR="004B72E1" w:rsidRPr="00AA5063">
        <w:rPr>
          <w:sz w:val="24"/>
          <w:szCs w:val="24"/>
        </w:rPr>
        <w:t xml:space="preserve"> </w:t>
      </w:r>
      <w:r w:rsidR="00F103E0" w:rsidRPr="00AA5063">
        <w:rPr>
          <w:sz w:val="24"/>
          <w:szCs w:val="24"/>
        </w:rPr>
        <w:t>malades.</w:t>
      </w:r>
    </w:p>
    <w:p w:rsidR="00501A02" w:rsidRPr="00AA5063" w:rsidRDefault="008925D2" w:rsidP="00B654FD">
      <w:pPr>
        <w:jc w:val="both"/>
        <w:rPr>
          <w:sz w:val="24"/>
          <w:szCs w:val="24"/>
        </w:rPr>
      </w:pPr>
      <w:r w:rsidRPr="00AA5063">
        <w:rPr>
          <w:sz w:val="24"/>
          <w:szCs w:val="24"/>
        </w:rPr>
        <w:t>Ce fort retentissement sur la qualité de vie a conduit l’AF3M a particip</w:t>
      </w:r>
      <w:r w:rsidR="00AA5063">
        <w:rPr>
          <w:sz w:val="24"/>
          <w:szCs w:val="24"/>
        </w:rPr>
        <w:t xml:space="preserve">er </w:t>
      </w:r>
      <w:r w:rsidRPr="00AA5063">
        <w:rPr>
          <w:sz w:val="24"/>
          <w:szCs w:val="24"/>
        </w:rPr>
        <w:t xml:space="preserve">à un Groupe de Travail </w:t>
      </w:r>
      <w:r w:rsidR="002554A9" w:rsidRPr="00AA5063">
        <w:rPr>
          <w:sz w:val="24"/>
          <w:szCs w:val="24"/>
        </w:rPr>
        <w:t xml:space="preserve">(GT) </w:t>
      </w:r>
      <w:r w:rsidRPr="00AA5063">
        <w:rPr>
          <w:sz w:val="24"/>
          <w:szCs w:val="24"/>
        </w:rPr>
        <w:t xml:space="preserve">en vue de définir les aptitudes, </w:t>
      </w:r>
      <w:r w:rsidR="001B5D48" w:rsidRPr="00AA5063">
        <w:rPr>
          <w:sz w:val="24"/>
          <w:szCs w:val="24"/>
        </w:rPr>
        <w:t xml:space="preserve">appelées </w:t>
      </w:r>
      <w:r w:rsidR="00AA5063">
        <w:rPr>
          <w:sz w:val="24"/>
          <w:szCs w:val="24"/>
        </w:rPr>
        <w:t>« </w:t>
      </w:r>
      <w:r w:rsidR="001B5D48" w:rsidRPr="00AA5063">
        <w:rPr>
          <w:sz w:val="24"/>
          <w:szCs w:val="24"/>
        </w:rPr>
        <w:t>compétences</w:t>
      </w:r>
      <w:r w:rsidR="00AA5063">
        <w:rPr>
          <w:sz w:val="24"/>
          <w:szCs w:val="24"/>
        </w:rPr>
        <w:t> »</w:t>
      </w:r>
      <w:r w:rsidRPr="00AA5063">
        <w:rPr>
          <w:sz w:val="24"/>
          <w:szCs w:val="24"/>
        </w:rPr>
        <w:t xml:space="preserve"> dans </w:t>
      </w:r>
      <w:r w:rsidR="00E73FAA" w:rsidRPr="00AA5063">
        <w:rPr>
          <w:sz w:val="24"/>
          <w:szCs w:val="24"/>
        </w:rPr>
        <w:t xml:space="preserve">le </w:t>
      </w:r>
      <w:r w:rsidR="004E25E8" w:rsidRPr="00AA5063">
        <w:rPr>
          <w:sz w:val="24"/>
          <w:szCs w:val="24"/>
        </w:rPr>
        <w:t>concept</w:t>
      </w:r>
      <w:r w:rsidR="00E73FAA" w:rsidRPr="00AA5063">
        <w:rPr>
          <w:sz w:val="24"/>
          <w:szCs w:val="24"/>
        </w:rPr>
        <w:t xml:space="preserve"> de l’</w:t>
      </w:r>
      <w:r w:rsidR="004E25E8" w:rsidRPr="00AA5063">
        <w:rPr>
          <w:sz w:val="24"/>
          <w:szCs w:val="24"/>
        </w:rPr>
        <w:t>Education</w:t>
      </w:r>
      <w:r w:rsidR="00E73FAA" w:rsidRPr="00AA5063">
        <w:rPr>
          <w:sz w:val="24"/>
          <w:szCs w:val="24"/>
        </w:rPr>
        <w:t xml:space="preserve"> </w:t>
      </w:r>
      <w:r w:rsidRPr="00AA5063">
        <w:rPr>
          <w:sz w:val="24"/>
          <w:szCs w:val="24"/>
        </w:rPr>
        <w:t>T</w:t>
      </w:r>
      <w:r w:rsidR="00E73FAA" w:rsidRPr="00AA5063">
        <w:rPr>
          <w:sz w:val="24"/>
          <w:szCs w:val="24"/>
        </w:rPr>
        <w:t xml:space="preserve">hérapeutique du </w:t>
      </w:r>
      <w:r w:rsidRPr="00AA5063">
        <w:rPr>
          <w:sz w:val="24"/>
          <w:szCs w:val="24"/>
        </w:rPr>
        <w:t>P</w:t>
      </w:r>
      <w:r w:rsidR="00E73FAA" w:rsidRPr="00AA5063">
        <w:rPr>
          <w:sz w:val="24"/>
          <w:szCs w:val="24"/>
        </w:rPr>
        <w:t xml:space="preserve">atient </w:t>
      </w:r>
      <w:r w:rsidR="004E25E8" w:rsidRPr="00AA5063">
        <w:rPr>
          <w:sz w:val="24"/>
          <w:szCs w:val="24"/>
        </w:rPr>
        <w:t>(ETP)</w:t>
      </w:r>
      <w:r w:rsidR="002554A9" w:rsidRPr="00AA5063">
        <w:rPr>
          <w:sz w:val="24"/>
          <w:szCs w:val="24"/>
        </w:rPr>
        <w:t>,</w:t>
      </w:r>
      <w:r w:rsidRPr="00AA5063">
        <w:rPr>
          <w:sz w:val="24"/>
          <w:szCs w:val="24"/>
        </w:rPr>
        <w:t xml:space="preserve"> qui </w:t>
      </w:r>
      <w:r w:rsidR="00B654FD" w:rsidRPr="00AA5063">
        <w:rPr>
          <w:sz w:val="24"/>
          <w:szCs w:val="24"/>
        </w:rPr>
        <w:t xml:space="preserve">sont </w:t>
      </w:r>
      <w:r w:rsidR="00501A02" w:rsidRPr="00AA5063">
        <w:rPr>
          <w:sz w:val="24"/>
          <w:szCs w:val="24"/>
        </w:rPr>
        <w:t xml:space="preserve">de nature à permettre à un malade </w:t>
      </w:r>
      <w:r w:rsidR="00AA5063">
        <w:rPr>
          <w:sz w:val="24"/>
          <w:szCs w:val="24"/>
        </w:rPr>
        <w:t xml:space="preserve">atteint </w:t>
      </w:r>
      <w:r w:rsidR="00501A02" w:rsidRPr="00AA5063">
        <w:rPr>
          <w:sz w:val="24"/>
          <w:szCs w:val="24"/>
        </w:rPr>
        <w:t>d</w:t>
      </w:r>
      <w:r w:rsidR="00AA5063">
        <w:rPr>
          <w:sz w:val="24"/>
          <w:szCs w:val="24"/>
        </w:rPr>
        <w:t>’un</w:t>
      </w:r>
      <w:r w:rsidR="00501A02" w:rsidRPr="00AA5063">
        <w:rPr>
          <w:sz w:val="24"/>
          <w:szCs w:val="24"/>
        </w:rPr>
        <w:t xml:space="preserve"> </w:t>
      </w:r>
      <w:r w:rsidRPr="00AA5063">
        <w:rPr>
          <w:sz w:val="24"/>
          <w:szCs w:val="24"/>
        </w:rPr>
        <w:t>myélome multiple</w:t>
      </w:r>
      <w:r w:rsidR="00501A02" w:rsidRPr="00AA5063">
        <w:rPr>
          <w:sz w:val="24"/>
          <w:szCs w:val="24"/>
        </w:rPr>
        <w:t xml:space="preserve"> de mieux mettre en valeur et </w:t>
      </w:r>
      <w:r w:rsidR="000F4935" w:rsidRPr="00AA5063">
        <w:rPr>
          <w:sz w:val="24"/>
          <w:szCs w:val="24"/>
        </w:rPr>
        <w:t>d’</w:t>
      </w:r>
      <w:r w:rsidR="00501A02" w:rsidRPr="00AA5063">
        <w:rPr>
          <w:sz w:val="24"/>
          <w:szCs w:val="24"/>
        </w:rPr>
        <w:t>exploiter ses propres ressources</w:t>
      </w:r>
      <w:r w:rsidR="004E25E8" w:rsidRPr="00AA5063">
        <w:rPr>
          <w:sz w:val="24"/>
          <w:szCs w:val="24"/>
        </w:rPr>
        <w:t>, de façon encadrée.</w:t>
      </w:r>
    </w:p>
    <w:p w:rsidR="00556142" w:rsidRPr="00AA5063" w:rsidRDefault="00B654FD" w:rsidP="00AA5063">
      <w:pPr>
        <w:pStyle w:val="bodytext"/>
        <w:jc w:val="both"/>
        <w:rPr>
          <w:rFonts w:ascii="Arial" w:hAnsi="Arial" w:cs="Arial"/>
          <w:b/>
          <w:color w:val="44668C"/>
        </w:rPr>
      </w:pPr>
      <w:r w:rsidRPr="00AA5063">
        <w:rPr>
          <w:rFonts w:ascii="Calibri" w:eastAsia="Calibri" w:hAnsi="Calibri"/>
          <w:b/>
          <w:lang w:eastAsia="en-US"/>
        </w:rPr>
        <w:t xml:space="preserve">L’ambition </w:t>
      </w:r>
      <w:r w:rsidR="004E25E8" w:rsidRPr="00AA5063">
        <w:rPr>
          <w:rFonts w:ascii="Calibri" w:eastAsia="Calibri" w:hAnsi="Calibri"/>
          <w:b/>
          <w:lang w:eastAsia="en-US"/>
        </w:rPr>
        <w:t xml:space="preserve">de ce </w:t>
      </w:r>
      <w:r w:rsidRPr="00AA5063">
        <w:rPr>
          <w:rFonts w:ascii="Calibri" w:eastAsia="Calibri" w:hAnsi="Calibri"/>
          <w:b/>
          <w:lang w:eastAsia="en-US"/>
        </w:rPr>
        <w:t xml:space="preserve">GT est fondée sur une conviction partagée, </w:t>
      </w:r>
      <w:r w:rsidR="00AA5063">
        <w:rPr>
          <w:rFonts w:ascii="Calibri" w:eastAsia="Calibri" w:hAnsi="Calibri"/>
          <w:b/>
          <w:lang w:eastAsia="en-US"/>
        </w:rPr>
        <w:t xml:space="preserve">selon laquelle </w:t>
      </w:r>
      <w:r w:rsidRPr="00AA5063">
        <w:rPr>
          <w:rFonts w:ascii="Calibri" w:eastAsia="Calibri" w:hAnsi="Calibri"/>
          <w:b/>
          <w:lang w:eastAsia="en-US"/>
        </w:rPr>
        <w:t xml:space="preserve">un patient mieux informé, </w:t>
      </w:r>
      <w:r w:rsidR="004E25E8" w:rsidRPr="00AA5063">
        <w:rPr>
          <w:rFonts w:ascii="Calibri" w:eastAsia="Calibri" w:hAnsi="Calibri"/>
          <w:b/>
          <w:lang w:eastAsia="en-US"/>
        </w:rPr>
        <w:t xml:space="preserve">accompagné </w:t>
      </w:r>
      <w:r w:rsidRPr="00AA5063">
        <w:rPr>
          <w:rFonts w:ascii="Calibri" w:eastAsia="Calibri" w:hAnsi="Calibri"/>
          <w:b/>
          <w:lang w:eastAsia="en-US"/>
        </w:rPr>
        <w:t>et proactif</w:t>
      </w:r>
      <w:r w:rsidR="00AA5063">
        <w:rPr>
          <w:rFonts w:ascii="Calibri" w:eastAsia="Calibri" w:hAnsi="Calibri"/>
          <w:b/>
          <w:lang w:eastAsia="en-US"/>
        </w:rPr>
        <w:t>,</w:t>
      </w:r>
      <w:r w:rsidRPr="00AA5063">
        <w:rPr>
          <w:rFonts w:ascii="Calibri" w:eastAsia="Calibri" w:hAnsi="Calibri"/>
          <w:b/>
          <w:lang w:eastAsia="en-US"/>
        </w:rPr>
        <w:t xml:space="preserve"> en </w:t>
      </w:r>
      <w:r w:rsidR="00556142" w:rsidRPr="00AA5063">
        <w:rPr>
          <w:rFonts w:ascii="Calibri" w:eastAsia="Calibri" w:hAnsi="Calibri"/>
          <w:b/>
          <w:lang w:eastAsia="en-US"/>
        </w:rPr>
        <w:t>re</w:t>
      </w:r>
      <w:r w:rsidRPr="00AA5063">
        <w:rPr>
          <w:rFonts w:ascii="Calibri" w:eastAsia="Calibri" w:hAnsi="Calibri"/>
          <w:b/>
          <w:lang w:eastAsia="en-US"/>
        </w:rPr>
        <w:t>tire un bénéfice important quel que soit son pronostic</w:t>
      </w:r>
      <w:r w:rsidR="00B01E09" w:rsidRPr="00AA5063">
        <w:rPr>
          <w:rFonts w:ascii="Calibri" w:eastAsia="Calibri" w:hAnsi="Calibri"/>
          <w:b/>
          <w:lang w:eastAsia="en-US"/>
        </w:rPr>
        <w:t>.</w:t>
      </w:r>
    </w:p>
    <w:p w:rsidR="002554A9" w:rsidRPr="00AA5063" w:rsidRDefault="002554A9" w:rsidP="008925D2">
      <w:pPr>
        <w:jc w:val="both"/>
        <w:rPr>
          <w:sz w:val="24"/>
          <w:szCs w:val="24"/>
        </w:rPr>
      </w:pPr>
      <w:r w:rsidRPr="00AA5063">
        <w:rPr>
          <w:sz w:val="24"/>
          <w:szCs w:val="24"/>
        </w:rPr>
        <w:t xml:space="preserve">L’approche mise en œuvre au sein </w:t>
      </w:r>
      <w:r w:rsidR="00AA5063">
        <w:rPr>
          <w:sz w:val="24"/>
          <w:szCs w:val="24"/>
        </w:rPr>
        <w:t xml:space="preserve">de </w:t>
      </w:r>
      <w:r w:rsidR="00B01E09" w:rsidRPr="00AA5063">
        <w:rPr>
          <w:sz w:val="24"/>
          <w:szCs w:val="24"/>
        </w:rPr>
        <w:t>l’</w:t>
      </w:r>
      <w:r w:rsidR="002977E2" w:rsidRPr="00AA5063">
        <w:rPr>
          <w:sz w:val="24"/>
          <w:szCs w:val="24"/>
        </w:rPr>
        <w:t>équipe</w:t>
      </w:r>
      <w:r w:rsidRPr="00AA5063">
        <w:rPr>
          <w:sz w:val="24"/>
          <w:szCs w:val="24"/>
        </w:rPr>
        <w:t xml:space="preserve"> </w:t>
      </w:r>
      <w:r w:rsidR="00B01E09" w:rsidRPr="00AA5063">
        <w:rPr>
          <w:sz w:val="24"/>
          <w:szCs w:val="24"/>
        </w:rPr>
        <w:t xml:space="preserve">pluri-professionnelle mise en place </w:t>
      </w:r>
      <w:r w:rsidRPr="00AA5063">
        <w:rPr>
          <w:sz w:val="24"/>
          <w:szCs w:val="24"/>
        </w:rPr>
        <w:t>a été collaborative</w:t>
      </w:r>
      <w:r w:rsidR="00AA5063">
        <w:rPr>
          <w:sz w:val="24"/>
          <w:szCs w:val="24"/>
        </w:rPr>
        <w:t xml:space="preserve"> : </w:t>
      </w:r>
      <w:r w:rsidR="00347F3A" w:rsidRPr="00AA5063">
        <w:rPr>
          <w:sz w:val="24"/>
          <w:szCs w:val="24"/>
        </w:rPr>
        <w:t>tout a été mis en œuvre afin que chaque participant puisse exprimer ses positions</w:t>
      </w:r>
      <w:r w:rsidRPr="00AA5063">
        <w:rPr>
          <w:sz w:val="24"/>
          <w:szCs w:val="24"/>
        </w:rPr>
        <w:t>. Elle a associé soignants au sens large</w:t>
      </w:r>
      <w:r w:rsidR="00B654FD" w:rsidRPr="00AA5063">
        <w:rPr>
          <w:sz w:val="24"/>
          <w:szCs w:val="24"/>
        </w:rPr>
        <w:t xml:space="preserve"> (</w:t>
      </w:r>
      <w:r w:rsidR="00AA5063">
        <w:rPr>
          <w:sz w:val="24"/>
          <w:szCs w:val="24"/>
        </w:rPr>
        <w:t>m</w:t>
      </w:r>
      <w:r w:rsidR="00B654FD" w:rsidRPr="00AA5063">
        <w:rPr>
          <w:sz w:val="24"/>
          <w:szCs w:val="24"/>
        </w:rPr>
        <w:t>édecins, pharmaciens, infirmières et psychologues)</w:t>
      </w:r>
      <w:r w:rsidRPr="00AA5063">
        <w:rPr>
          <w:sz w:val="24"/>
          <w:szCs w:val="24"/>
        </w:rPr>
        <w:t xml:space="preserve">, patients-ressources et aidants, </w:t>
      </w:r>
      <w:r w:rsidR="00AA5063">
        <w:rPr>
          <w:sz w:val="24"/>
          <w:szCs w:val="24"/>
        </w:rPr>
        <w:t xml:space="preserve">et </w:t>
      </w:r>
      <w:r w:rsidRPr="00AA5063">
        <w:rPr>
          <w:sz w:val="24"/>
          <w:szCs w:val="24"/>
        </w:rPr>
        <w:t xml:space="preserve">débouché sur l’élaboration d’un </w:t>
      </w:r>
      <w:r w:rsidR="00347F3A" w:rsidRPr="00AA5063">
        <w:rPr>
          <w:sz w:val="24"/>
          <w:szCs w:val="24"/>
        </w:rPr>
        <w:t xml:space="preserve">document consensuel qui décrit un </w:t>
      </w:r>
      <w:r w:rsidRPr="00AA5063">
        <w:rPr>
          <w:sz w:val="24"/>
          <w:szCs w:val="24"/>
        </w:rPr>
        <w:t>référentiel de compétences et d</w:t>
      </w:r>
      <w:r w:rsidR="00347F3A" w:rsidRPr="00AA5063">
        <w:rPr>
          <w:sz w:val="24"/>
          <w:szCs w:val="24"/>
        </w:rPr>
        <w:t xml:space="preserve">es </w:t>
      </w:r>
      <w:r w:rsidRPr="00AA5063">
        <w:rPr>
          <w:sz w:val="24"/>
          <w:szCs w:val="24"/>
        </w:rPr>
        <w:t>outils concrets permettant de le mettre en œuvre.</w:t>
      </w:r>
    </w:p>
    <w:p w:rsidR="00FA60B3" w:rsidRPr="00AA5063" w:rsidRDefault="002554A9" w:rsidP="00FA60B3">
      <w:pPr>
        <w:jc w:val="both"/>
        <w:rPr>
          <w:sz w:val="24"/>
          <w:szCs w:val="24"/>
        </w:rPr>
      </w:pPr>
      <w:r w:rsidRPr="00AA5063">
        <w:rPr>
          <w:sz w:val="24"/>
          <w:szCs w:val="24"/>
        </w:rPr>
        <w:t xml:space="preserve">Le référentiel </w:t>
      </w:r>
      <w:r w:rsidR="00AA5063">
        <w:rPr>
          <w:sz w:val="24"/>
          <w:szCs w:val="24"/>
        </w:rPr>
        <w:t>ainsi él</w:t>
      </w:r>
      <w:r w:rsidRPr="00AA5063">
        <w:rPr>
          <w:sz w:val="24"/>
          <w:szCs w:val="24"/>
        </w:rPr>
        <w:t xml:space="preserve">aboré a permis de définir des objectifs pédagogiques rédigés selon </w:t>
      </w:r>
      <w:r w:rsidR="00E7552A" w:rsidRPr="00AA5063">
        <w:rPr>
          <w:sz w:val="24"/>
          <w:szCs w:val="24"/>
        </w:rPr>
        <w:t xml:space="preserve">3 </w:t>
      </w:r>
      <w:r w:rsidR="00333561">
        <w:rPr>
          <w:sz w:val="24"/>
          <w:szCs w:val="24"/>
        </w:rPr>
        <w:t xml:space="preserve">catégories </w:t>
      </w:r>
      <w:r w:rsidR="00E7552A" w:rsidRPr="00AA5063">
        <w:rPr>
          <w:sz w:val="24"/>
          <w:szCs w:val="24"/>
        </w:rPr>
        <w:t>:</w:t>
      </w:r>
      <w:r w:rsidR="002977E2" w:rsidRPr="00AA5063">
        <w:rPr>
          <w:sz w:val="24"/>
          <w:szCs w:val="24"/>
        </w:rPr>
        <w:t xml:space="preserve"> </w:t>
      </w:r>
      <w:r w:rsidR="00333561">
        <w:rPr>
          <w:sz w:val="24"/>
          <w:szCs w:val="24"/>
        </w:rPr>
        <w:t>ê</w:t>
      </w:r>
      <w:r w:rsidR="002977E2" w:rsidRPr="00AA5063">
        <w:rPr>
          <w:sz w:val="24"/>
          <w:szCs w:val="24"/>
        </w:rPr>
        <w:t>tre capable « d’identifier</w:t>
      </w:r>
      <w:r w:rsidRPr="00AA5063">
        <w:rPr>
          <w:sz w:val="24"/>
          <w:szCs w:val="24"/>
        </w:rPr>
        <w:t xml:space="preserve">… </w:t>
      </w:r>
      <w:r w:rsidR="002977E2" w:rsidRPr="00AA5063">
        <w:rPr>
          <w:sz w:val="24"/>
          <w:szCs w:val="24"/>
        </w:rPr>
        <w:t xml:space="preserve">», « </w:t>
      </w:r>
      <w:proofErr w:type="gramStart"/>
      <w:r w:rsidR="002977E2" w:rsidRPr="00AA5063">
        <w:rPr>
          <w:sz w:val="24"/>
          <w:szCs w:val="24"/>
        </w:rPr>
        <w:t>de</w:t>
      </w:r>
      <w:proofErr w:type="gramEnd"/>
      <w:r w:rsidR="002977E2" w:rsidRPr="00AA5063">
        <w:rPr>
          <w:sz w:val="24"/>
          <w:szCs w:val="24"/>
        </w:rPr>
        <w:t xml:space="preserve"> réagir face à… », « </w:t>
      </w:r>
      <w:proofErr w:type="gramStart"/>
      <w:r w:rsidR="00E7552A" w:rsidRPr="00AA5063">
        <w:rPr>
          <w:sz w:val="24"/>
          <w:szCs w:val="24"/>
        </w:rPr>
        <w:t>de</w:t>
      </w:r>
      <w:proofErr w:type="gramEnd"/>
      <w:r w:rsidR="00E7552A" w:rsidRPr="00AA5063">
        <w:rPr>
          <w:sz w:val="24"/>
          <w:szCs w:val="24"/>
        </w:rPr>
        <w:t xml:space="preserve"> </w:t>
      </w:r>
      <w:r w:rsidR="00B01E09" w:rsidRPr="00AA5063">
        <w:rPr>
          <w:sz w:val="24"/>
          <w:szCs w:val="24"/>
        </w:rPr>
        <w:t>savoir-faire</w:t>
      </w:r>
      <w:r w:rsidRPr="00AA5063">
        <w:rPr>
          <w:sz w:val="24"/>
          <w:szCs w:val="24"/>
        </w:rPr>
        <w:t>… »</w:t>
      </w:r>
      <w:r w:rsidR="00333561">
        <w:rPr>
          <w:sz w:val="24"/>
          <w:szCs w:val="24"/>
        </w:rPr>
        <w:t xml:space="preserve">. En outre </w:t>
      </w:r>
      <w:r w:rsidR="00FA60B3" w:rsidRPr="00AA5063">
        <w:rPr>
          <w:sz w:val="24"/>
          <w:szCs w:val="24"/>
        </w:rPr>
        <w:t>les « compétences prioritaires » de sécurité visant à</w:t>
      </w:r>
      <w:r w:rsidR="00347F3A" w:rsidRPr="00AA5063">
        <w:rPr>
          <w:sz w:val="24"/>
          <w:szCs w:val="24"/>
        </w:rPr>
        <w:t xml:space="preserve"> ce que le malade soit confronté à des complications évitables</w:t>
      </w:r>
      <w:r w:rsidR="00333561">
        <w:rPr>
          <w:sz w:val="24"/>
          <w:szCs w:val="24"/>
        </w:rPr>
        <w:t>, ont été définies.</w:t>
      </w:r>
    </w:p>
    <w:p w:rsidR="00347F3A" w:rsidRPr="00AA5063" w:rsidRDefault="00B01E09" w:rsidP="00347F3A">
      <w:pPr>
        <w:pStyle w:val="Commentaire"/>
        <w:jc w:val="both"/>
        <w:rPr>
          <w:sz w:val="24"/>
          <w:szCs w:val="24"/>
        </w:rPr>
      </w:pPr>
      <w:r w:rsidRPr="00AA5063">
        <w:rPr>
          <w:sz w:val="24"/>
          <w:szCs w:val="24"/>
        </w:rPr>
        <w:t xml:space="preserve">Sur la base du référentiel décrit – voir </w:t>
      </w:r>
      <w:r w:rsidR="00FA60B3" w:rsidRPr="00AA5063">
        <w:rPr>
          <w:sz w:val="24"/>
          <w:szCs w:val="24"/>
        </w:rPr>
        <w:t>les tableaux repris en fin de texte -</w:t>
      </w:r>
      <w:r w:rsidRPr="00AA5063">
        <w:rPr>
          <w:sz w:val="24"/>
          <w:szCs w:val="24"/>
        </w:rPr>
        <w:t>, d</w:t>
      </w:r>
      <w:r w:rsidR="002554A9" w:rsidRPr="00AA5063">
        <w:rPr>
          <w:sz w:val="24"/>
          <w:szCs w:val="24"/>
        </w:rPr>
        <w:t xml:space="preserve">es outils </w:t>
      </w:r>
      <w:r w:rsidRPr="00AA5063">
        <w:rPr>
          <w:sz w:val="24"/>
          <w:szCs w:val="24"/>
        </w:rPr>
        <w:t xml:space="preserve">ont </w:t>
      </w:r>
      <w:r w:rsidR="002554A9" w:rsidRPr="00AA5063">
        <w:rPr>
          <w:sz w:val="24"/>
          <w:szCs w:val="24"/>
        </w:rPr>
        <w:t xml:space="preserve">été conçus </w:t>
      </w:r>
      <w:r w:rsidRPr="00AA5063">
        <w:rPr>
          <w:sz w:val="24"/>
          <w:szCs w:val="24"/>
        </w:rPr>
        <w:t xml:space="preserve">et développés </w:t>
      </w:r>
      <w:r w:rsidR="002554A9" w:rsidRPr="00AA5063">
        <w:rPr>
          <w:sz w:val="24"/>
          <w:szCs w:val="24"/>
        </w:rPr>
        <w:t xml:space="preserve">de façon à permettre aux malades </w:t>
      </w:r>
      <w:r w:rsidR="00B654FD" w:rsidRPr="00AA5063">
        <w:rPr>
          <w:sz w:val="24"/>
          <w:szCs w:val="24"/>
        </w:rPr>
        <w:t xml:space="preserve">d’acquérir des compétences </w:t>
      </w:r>
      <w:r w:rsidR="00E7552A" w:rsidRPr="00AA5063">
        <w:rPr>
          <w:sz w:val="24"/>
          <w:szCs w:val="24"/>
        </w:rPr>
        <w:lastRenderedPageBreak/>
        <w:t>appelées « </w:t>
      </w:r>
      <w:r w:rsidR="00B654FD" w:rsidRPr="00AA5063">
        <w:rPr>
          <w:sz w:val="24"/>
          <w:szCs w:val="24"/>
        </w:rPr>
        <w:t>d’auto-soins</w:t>
      </w:r>
      <w:r w:rsidR="00E7552A" w:rsidRPr="00AA5063">
        <w:rPr>
          <w:sz w:val="24"/>
          <w:szCs w:val="24"/>
        </w:rPr>
        <w:t xml:space="preserve"> » et </w:t>
      </w:r>
      <w:r w:rsidR="00333561">
        <w:rPr>
          <w:sz w:val="24"/>
          <w:szCs w:val="24"/>
        </w:rPr>
        <w:t>« </w:t>
      </w:r>
      <w:r w:rsidR="00E7552A" w:rsidRPr="00AA5063">
        <w:rPr>
          <w:sz w:val="24"/>
          <w:szCs w:val="24"/>
        </w:rPr>
        <w:t>d’auto-vigilance</w:t>
      </w:r>
      <w:r w:rsidR="00333561">
        <w:rPr>
          <w:sz w:val="24"/>
          <w:szCs w:val="24"/>
        </w:rPr>
        <w:t> »</w:t>
      </w:r>
      <w:r w:rsidRPr="00AA5063">
        <w:rPr>
          <w:sz w:val="24"/>
          <w:szCs w:val="24"/>
        </w:rPr>
        <w:t xml:space="preserve">. Ces outils </w:t>
      </w:r>
      <w:r w:rsidR="00333561">
        <w:rPr>
          <w:sz w:val="24"/>
          <w:szCs w:val="24"/>
        </w:rPr>
        <w:t xml:space="preserve">seront </w:t>
      </w:r>
      <w:r w:rsidRPr="00AA5063">
        <w:rPr>
          <w:sz w:val="24"/>
          <w:szCs w:val="24"/>
        </w:rPr>
        <w:t xml:space="preserve">mis en œuvre par des </w:t>
      </w:r>
      <w:r w:rsidR="00E7552A" w:rsidRPr="00AA5063">
        <w:rPr>
          <w:sz w:val="24"/>
          <w:szCs w:val="24"/>
        </w:rPr>
        <w:t xml:space="preserve">soignants </w:t>
      </w:r>
      <w:r w:rsidR="00F015D2" w:rsidRPr="00AA5063">
        <w:rPr>
          <w:sz w:val="24"/>
          <w:szCs w:val="24"/>
        </w:rPr>
        <w:t>coordonnant des</w:t>
      </w:r>
      <w:r w:rsidR="00347F3A" w:rsidRPr="00AA5063">
        <w:rPr>
          <w:sz w:val="24"/>
          <w:szCs w:val="24"/>
        </w:rPr>
        <w:t xml:space="preserve"> entretiens individuels et/ou des ateliers collectifs animés par des soignants et/ou des patients-ressource.</w:t>
      </w:r>
    </w:p>
    <w:p w:rsidR="00B654FD" w:rsidRPr="00AA5063" w:rsidRDefault="00B654FD" w:rsidP="00B654FD">
      <w:pPr>
        <w:jc w:val="both"/>
        <w:rPr>
          <w:sz w:val="24"/>
          <w:szCs w:val="24"/>
        </w:rPr>
      </w:pPr>
      <w:r w:rsidRPr="00AA5063">
        <w:rPr>
          <w:sz w:val="24"/>
          <w:szCs w:val="24"/>
        </w:rPr>
        <w:t>Au global</w:t>
      </w:r>
      <w:r w:rsidR="00333561">
        <w:rPr>
          <w:sz w:val="24"/>
          <w:szCs w:val="24"/>
        </w:rPr>
        <w:t xml:space="preserve"> et </w:t>
      </w:r>
      <w:r w:rsidRPr="00AA5063">
        <w:rPr>
          <w:sz w:val="24"/>
          <w:szCs w:val="24"/>
        </w:rPr>
        <w:t>au-delà du fait qu</w:t>
      </w:r>
      <w:r w:rsidR="003F489B" w:rsidRPr="00AA5063">
        <w:rPr>
          <w:sz w:val="24"/>
          <w:szCs w:val="24"/>
        </w:rPr>
        <w:t xml:space="preserve">e les outils développés pourront s’intégrer dans différentes démarches visant à mieux informer et </w:t>
      </w:r>
      <w:r w:rsidR="00E7552A" w:rsidRPr="00AA5063">
        <w:rPr>
          <w:sz w:val="24"/>
          <w:szCs w:val="24"/>
        </w:rPr>
        <w:t xml:space="preserve">accompagner </w:t>
      </w:r>
      <w:r w:rsidR="003F489B" w:rsidRPr="00AA5063">
        <w:rPr>
          <w:sz w:val="24"/>
          <w:szCs w:val="24"/>
        </w:rPr>
        <w:t>les malades </w:t>
      </w:r>
      <w:r w:rsidR="00333561">
        <w:rPr>
          <w:sz w:val="24"/>
          <w:szCs w:val="24"/>
        </w:rPr>
        <w:t>(</w:t>
      </w:r>
      <w:r w:rsidR="003F489B" w:rsidRPr="00AA5063">
        <w:rPr>
          <w:sz w:val="24"/>
          <w:szCs w:val="24"/>
        </w:rPr>
        <w:t xml:space="preserve">programme ETP, programme </w:t>
      </w:r>
      <w:r w:rsidR="00622CD6" w:rsidRPr="00AA5063">
        <w:rPr>
          <w:sz w:val="24"/>
          <w:szCs w:val="24"/>
        </w:rPr>
        <w:t>d’accompagnement, etc</w:t>
      </w:r>
      <w:r w:rsidR="00333561">
        <w:rPr>
          <w:sz w:val="24"/>
          <w:szCs w:val="24"/>
        </w:rPr>
        <w:t xml:space="preserve">.) </w:t>
      </w:r>
      <w:r w:rsidR="00333561" w:rsidRPr="00AA5063">
        <w:rPr>
          <w:sz w:val="24"/>
          <w:szCs w:val="24"/>
        </w:rPr>
        <w:t>les bénéfices tirés d’un tel dispositif</w:t>
      </w:r>
      <w:r w:rsidR="00333561">
        <w:rPr>
          <w:sz w:val="24"/>
          <w:szCs w:val="24"/>
        </w:rPr>
        <w:t xml:space="preserve"> </w:t>
      </w:r>
      <w:r w:rsidR="003F489B" w:rsidRPr="00AA5063">
        <w:rPr>
          <w:sz w:val="24"/>
          <w:szCs w:val="24"/>
        </w:rPr>
        <w:t xml:space="preserve">sont </w:t>
      </w:r>
      <w:r w:rsidRPr="00AA5063">
        <w:rPr>
          <w:sz w:val="24"/>
          <w:szCs w:val="24"/>
        </w:rPr>
        <w:t>de différents ordres :</w:t>
      </w:r>
    </w:p>
    <w:p w:rsidR="003F489B" w:rsidRPr="00AA5063" w:rsidRDefault="00B654FD" w:rsidP="00B654FD">
      <w:pPr>
        <w:jc w:val="both"/>
        <w:rPr>
          <w:sz w:val="24"/>
          <w:szCs w:val="24"/>
        </w:rPr>
      </w:pPr>
      <w:r w:rsidRPr="00AA5063">
        <w:rPr>
          <w:sz w:val="24"/>
          <w:szCs w:val="24"/>
        </w:rPr>
        <w:t>•</w:t>
      </w:r>
      <w:r w:rsidRPr="00AA5063">
        <w:rPr>
          <w:sz w:val="24"/>
          <w:szCs w:val="24"/>
        </w:rPr>
        <w:tab/>
      </w:r>
      <w:r w:rsidRPr="00AA5063">
        <w:rPr>
          <w:b/>
          <w:sz w:val="24"/>
          <w:szCs w:val="24"/>
        </w:rPr>
        <w:t>Qualité de vie</w:t>
      </w:r>
      <w:r w:rsidR="003F489B" w:rsidRPr="00AA5063">
        <w:rPr>
          <w:sz w:val="24"/>
          <w:szCs w:val="24"/>
        </w:rPr>
        <w:t xml:space="preserve"> </w:t>
      </w:r>
      <w:r w:rsidRPr="00AA5063">
        <w:rPr>
          <w:sz w:val="24"/>
          <w:szCs w:val="24"/>
        </w:rPr>
        <w:t xml:space="preserve">: </w:t>
      </w:r>
      <w:r w:rsidR="003F489B" w:rsidRPr="00AA5063">
        <w:rPr>
          <w:sz w:val="24"/>
          <w:szCs w:val="24"/>
        </w:rPr>
        <w:t xml:space="preserve">une meilleure prise en compte des </w:t>
      </w:r>
      <w:r w:rsidR="000551B0" w:rsidRPr="00AA5063">
        <w:rPr>
          <w:sz w:val="24"/>
          <w:szCs w:val="24"/>
        </w:rPr>
        <w:t xml:space="preserve">répercussions </w:t>
      </w:r>
      <w:r w:rsidR="003F489B" w:rsidRPr="00AA5063">
        <w:rPr>
          <w:sz w:val="24"/>
          <w:szCs w:val="24"/>
        </w:rPr>
        <w:t>de la maladie : anxiété, douleurs</w:t>
      </w:r>
      <w:r w:rsidRPr="00AA5063">
        <w:rPr>
          <w:sz w:val="24"/>
          <w:szCs w:val="24"/>
        </w:rPr>
        <w:t xml:space="preserve"> et fatigue </w:t>
      </w:r>
      <w:r w:rsidR="003F489B" w:rsidRPr="00AA5063">
        <w:rPr>
          <w:sz w:val="24"/>
          <w:szCs w:val="24"/>
        </w:rPr>
        <w:t xml:space="preserve">sont de nature à renforcer </w:t>
      </w:r>
      <w:r w:rsidR="00AA7166" w:rsidRPr="00AA5063">
        <w:rPr>
          <w:sz w:val="24"/>
          <w:szCs w:val="24"/>
        </w:rPr>
        <w:t xml:space="preserve">la </w:t>
      </w:r>
      <w:r w:rsidR="003F489B" w:rsidRPr="00AA5063">
        <w:rPr>
          <w:sz w:val="24"/>
          <w:szCs w:val="24"/>
        </w:rPr>
        <w:t xml:space="preserve">qualité de vie du malade quel que soit son </w:t>
      </w:r>
      <w:r w:rsidR="00622CD6" w:rsidRPr="00AA5063">
        <w:rPr>
          <w:sz w:val="24"/>
          <w:szCs w:val="24"/>
        </w:rPr>
        <w:t>profil (</w:t>
      </w:r>
      <w:r w:rsidR="003F489B" w:rsidRPr="00AA5063">
        <w:rPr>
          <w:sz w:val="24"/>
          <w:szCs w:val="24"/>
        </w:rPr>
        <w:t>professionnel, social et familial).</w:t>
      </w:r>
    </w:p>
    <w:p w:rsidR="00B654FD" w:rsidRPr="00AA5063" w:rsidRDefault="00B654FD" w:rsidP="00B654FD">
      <w:pPr>
        <w:jc w:val="both"/>
        <w:rPr>
          <w:sz w:val="24"/>
          <w:szCs w:val="24"/>
        </w:rPr>
      </w:pPr>
      <w:r w:rsidRPr="00AA5063">
        <w:rPr>
          <w:sz w:val="24"/>
          <w:szCs w:val="24"/>
        </w:rPr>
        <w:t>•</w:t>
      </w:r>
      <w:r w:rsidRPr="00AA5063">
        <w:rPr>
          <w:sz w:val="24"/>
          <w:szCs w:val="24"/>
        </w:rPr>
        <w:tab/>
      </w:r>
      <w:r w:rsidR="00622CD6" w:rsidRPr="00AA5063">
        <w:rPr>
          <w:b/>
          <w:sz w:val="24"/>
          <w:szCs w:val="24"/>
        </w:rPr>
        <w:t xml:space="preserve"> Sécurité </w:t>
      </w:r>
      <w:r w:rsidRPr="00AA5063">
        <w:rPr>
          <w:sz w:val="24"/>
          <w:szCs w:val="24"/>
        </w:rPr>
        <w:t xml:space="preserve">: le patient maîtrisant les compétences touchant à sa sécurité </w:t>
      </w:r>
      <w:r w:rsidR="00333561">
        <w:rPr>
          <w:sz w:val="24"/>
          <w:szCs w:val="24"/>
        </w:rPr>
        <w:t xml:space="preserve">favorisera </w:t>
      </w:r>
      <w:r w:rsidR="00AA7166" w:rsidRPr="00AA5063">
        <w:rPr>
          <w:sz w:val="24"/>
          <w:szCs w:val="24"/>
        </w:rPr>
        <w:t xml:space="preserve">la </w:t>
      </w:r>
      <w:r w:rsidR="00B01B2F" w:rsidRPr="00AA5063">
        <w:rPr>
          <w:sz w:val="24"/>
          <w:szCs w:val="24"/>
        </w:rPr>
        <w:t xml:space="preserve">diminution </w:t>
      </w:r>
      <w:r w:rsidRPr="00AA5063">
        <w:rPr>
          <w:sz w:val="24"/>
          <w:szCs w:val="24"/>
        </w:rPr>
        <w:t>de</w:t>
      </w:r>
      <w:r w:rsidR="00AA7166" w:rsidRPr="00AA5063">
        <w:rPr>
          <w:sz w:val="24"/>
          <w:szCs w:val="24"/>
        </w:rPr>
        <w:t>s</w:t>
      </w:r>
      <w:r w:rsidRPr="00AA5063">
        <w:rPr>
          <w:sz w:val="24"/>
          <w:szCs w:val="24"/>
        </w:rPr>
        <w:t xml:space="preserve"> complications </w:t>
      </w:r>
      <w:r w:rsidR="00AA7166" w:rsidRPr="00AA5063">
        <w:rPr>
          <w:sz w:val="24"/>
          <w:szCs w:val="24"/>
        </w:rPr>
        <w:t xml:space="preserve">possibles </w:t>
      </w:r>
      <w:r w:rsidR="00B01B2F" w:rsidRPr="00AA5063">
        <w:rPr>
          <w:sz w:val="24"/>
          <w:szCs w:val="24"/>
        </w:rPr>
        <w:t xml:space="preserve">grâce à </w:t>
      </w:r>
      <w:r w:rsidRPr="00AA5063">
        <w:rPr>
          <w:sz w:val="24"/>
          <w:szCs w:val="24"/>
        </w:rPr>
        <w:t>sa capacité à réagir de façon appropriée en cas d’incidents ou de signes d’alerte.</w:t>
      </w:r>
    </w:p>
    <w:p w:rsidR="005A2D6D" w:rsidRPr="00AA5063" w:rsidRDefault="00B654FD" w:rsidP="00B654FD">
      <w:pPr>
        <w:jc w:val="both"/>
        <w:rPr>
          <w:sz w:val="24"/>
          <w:szCs w:val="24"/>
        </w:rPr>
      </w:pPr>
      <w:r w:rsidRPr="00AA5063">
        <w:rPr>
          <w:sz w:val="24"/>
          <w:szCs w:val="24"/>
        </w:rPr>
        <w:t>•</w:t>
      </w:r>
      <w:r w:rsidRPr="00AA5063">
        <w:rPr>
          <w:sz w:val="24"/>
          <w:szCs w:val="24"/>
        </w:rPr>
        <w:tab/>
      </w:r>
      <w:r w:rsidRPr="00AA5063">
        <w:rPr>
          <w:b/>
          <w:sz w:val="24"/>
          <w:szCs w:val="24"/>
        </w:rPr>
        <w:t xml:space="preserve">Economique </w:t>
      </w:r>
      <w:r w:rsidRPr="00AA5063">
        <w:rPr>
          <w:sz w:val="24"/>
          <w:szCs w:val="24"/>
        </w:rPr>
        <w:t>: de la même façon, le patient qui comprend sa maladie</w:t>
      </w:r>
      <w:r w:rsidR="00333561">
        <w:rPr>
          <w:sz w:val="24"/>
          <w:szCs w:val="24"/>
        </w:rPr>
        <w:t xml:space="preserve"> et</w:t>
      </w:r>
      <w:r w:rsidRPr="00AA5063">
        <w:rPr>
          <w:sz w:val="24"/>
          <w:szCs w:val="24"/>
        </w:rPr>
        <w:t xml:space="preserve"> sa prise en charge, qui connait le vocabulaire utilisé dans le MM et communique avec les soignants</w:t>
      </w:r>
      <w:r w:rsidR="00333561">
        <w:rPr>
          <w:sz w:val="24"/>
          <w:szCs w:val="24"/>
        </w:rPr>
        <w:t>,</w:t>
      </w:r>
      <w:r w:rsidRPr="00AA5063">
        <w:rPr>
          <w:sz w:val="24"/>
          <w:szCs w:val="24"/>
        </w:rPr>
        <w:t xml:space="preserve"> </w:t>
      </w:r>
      <w:r w:rsidR="00821190" w:rsidRPr="00AA5063">
        <w:rPr>
          <w:sz w:val="24"/>
          <w:szCs w:val="24"/>
        </w:rPr>
        <w:t xml:space="preserve">« consommera » </w:t>
      </w:r>
      <w:r w:rsidRPr="00AA5063">
        <w:rPr>
          <w:sz w:val="24"/>
          <w:szCs w:val="24"/>
        </w:rPr>
        <w:t xml:space="preserve">sans doute moins de soins et pourra adhérer </w:t>
      </w:r>
      <w:r w:rsidR="005A2D6D" w:rsidRPr="00AA5063">
        <w:rPr>
          <w:sz w:val="24"/>
          <w:szCs w:val="24"/>
        </w:rPr>
        <w:t>en</w:t>
      </w:r>
      <w:r w:rsidR="00821190" w:rsidRPr="00AA5063">
        <w:rPr>
          <w:sz w:val="24"/>
          <w:szCs w:val="24"/>
        </w:rPr>
        <w:t xml:space="preserve"> confiance </w:t>
      </w:r>
      <w:r w:rsidRPr="00AA5063">
        <w:rPr>
          <w:sz w:val="24"/>
          <w:szCs w:val="24"/>
        </w:rPr>
        <w:t>à sa prise en charge (adhésion / observance).</w:t>
      </w:r>
    </w:p>
    <w:p w:rsidR="00FA60B3" w:rsidRPr="00AA5063" w:rsidRDefault="00FA60B3" w:rsidP="00B654FD">
      <w:pPr>
        <w:jc w:val="both"/>
        <w:rPr>
          <w:sz w:val="24"/>
          <w:szCs w:val="24"/>
        </w:rPr>
      </w:pPr>
    </w:p>
    <w:p w:rsidR="00464FA9" w:rsidRPr="00AA5063" w:rsidRDefault="00FA60B3" w:rsidP="00464FA9">
      <w:pPr>
        <w:spacing w:after="80" w:line="240" w:lineRule="auto"/>
        <w:rPr>
          <w:sz w:val="24"/>
          <w:szCs w:val="24"/>
        </w:rPr>
      </w:pPr>
      <w:r w:rsidRPr="00AA5063">
        <w:rPr>
          <w:sz w:val="24"/>
          <w:szCs w:val="24"/>
        </w:rPr>
        <w:t xml:space="preserve">Maryse GARZIA et Bernard </w:t>
      </w:r>
      <w:bookmarkStart w:id="0" w:name="_GoBack"/>
      <w:bookmarkEnd w:id="0"/>
      <w:r w:rsidR="00B22979" w:rsidRPr="00AA5063">
        <w:rPr>
          <w:sz w:val="24"/>
          <w:szCs w:val="24"/>
        </w:rPr>
        <w:t>DELCOUR tiennent</w:t>
      </w:r>
      <w:r w:rsidR="00464FA9" w:rsidRPr="00AA5063">
        <w:rPr>
          <w:sz w:val="24"/>
          <w:szCs w:val="24"/>
        </w:rPr>
        <w:t xml:space="preserve"> très sincèrement à remercier les membres du groupe et notamment le Dr David </w:t>
      </w:r>
      <w:proofErr w:type="spellStart"/>
      <w:r w:rsidR="00464FA9" w:rsidRPr="00AA5063">
        <w:rPr>
          <w:sz w:val="24"/>
          <w:szCs w:val="24"/>
        </w:rPr>
        <w:t>Feldman</w:t>
      </w:r>
      <w:proofErr w:type="spellEnd"/>
      <w:r w:rsidR="00333561">
        <w:rPr>
          <w:sz w:val="24"/>
          <w:szCs w:val="24"/>
        </w:rPr>
        <w:t>,</w:t>
      </w:r>
      <w:r w:rsidR="00464FA9" w:rsidRPr="00AA5063">
        <w:rPr>
          <w:sz w:val="24"/>
          <w:szCs w:val="24"/>
        </w:rPr>
        <w:t xml:space="preserve"> Pharmacien des hôpitaux CHU de Nantes qui a animé et coordonné les travaux du groupe.</w:t>
      </w:r>
    </w:p>
    <w:p w:rsidR="00FA60B3" w:rsidRPr="00AA5063" w:rsidRDefault="00FA60B3" w:rsidP="00B654FD">
      <w:pPr>
        <w:jc w:val="both"/>
        <w:rPr>
          <w:sz w:val="24"/>
          <w:szCs w:val="24"/>
        </w:rPr>
      </w:pPr>
    </w:p>
    <w:p w:rsidR="000F4935" w:rsidRDefault="000F4935" w:rsidP="00FA60B3">
      <w:pPr>
        <w:pStyle w:val="TM1"/>
      </w:pPr>
    </w:p>
    <w:p w:rsidR="008D19EF" w:rsidRDefault="000F4935" w:rsidP="00FA60B3">
      <w:pPr>
        <w:pStyle w:val="TM1"/>
      </w:pPr>
      <w:r w:rsidRPr="00FA60B3">
        <w:t>Le « REFERENTIEL de Compétences du MYELOME MULTIPLE » :</w:t>
      </w:r>
    </w:p>
    <w:p w:rsidR="00162D19" w:rsidRDefault="00162D19" w:rsidP="00162D19"/>
    <w:sdt>
      <w:sdtPr>
        <w:rPr>
          <w:b w:val="0"/>
          <w:noProof w:val="0"/>
          <w:u w:val="none"/>
        </w:rPr>
        <w:id w:val="-170832250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8506F" w:rsidRDefault="006F21F4" w:rsidP="00FA60B3">
          <w:pPr>
            <w:pStyle w:val="TM1"/>
            <w:rPr>
              <w:rFonts w:asciiTheme="minorHAnsi" w:eastAsiaTheme="minorEastAsia" w:hAnsiTheme="minorHAnsi" w:cstheme="minorBidi"/>
              <w:lang w:eastAsia="fr-FR"/>
            </w:rPr>
          </w:pPr>
          <w:r w:rsidRPr="006F21F4">
            <w:fldChar w:fldCharType="begin"/>
          </w:r>
          <w:r w:rsidR="00501A02">
            <w:instrText xml:space="preserve"> TOC \o "1-3" \h \z \u </w:instrText>
          </w:r>
          <w:r w:rsidRPr="006F21F4">
            <w:fldChar w:fldCharType="separate"/>
          </w:r>
          <w:hyperlink w:anchor="_Toc453932740" w:history="1">
            <w:r w:rsidR="00E8506F" w:rsidRPr="00B07140">
              <w:rPr>
                <w:rStyle w:val="Lienhypertexte"/>
              </w:rPr>
              <w:t>Liste des aptitudes ou compétences identifiées</w:t>
            </w:r>
            <w:r w:rsidR="00E850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8506F">
              <w:rPr>
                <w:webHidden/>
              </w:rPr>
              <w:instrText xml:space="preserve"> PAGEREF _Toc453932740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8506F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  <w:r w:rsidR="005A2D6D">
            <w:t xml:space="preserve">                                                                              </w:t>
          </w:r>
          <w:r w:rsidR="000551B0">
            <w:t xml:space="preserve">         </w:t>
          </w:r>
        </w:p>
        <w:p w:rsidR="00E8506F" w:rsidRDefault="006F21F4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453932741" w:history="1">
            <w:r w:rsidR="00E8506F" w:rsidRPr="00B07140">
              <w:rPr>
                <w:rStyle w:val="Lienhypertexte"/>
                <w:noProof/>
              </w:rPr>
              <w:t>Savoir (connaissances)</w:t>
            </w:r>
            <w:r w:rsidR="00E850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06F">
              <w:rPr>
                <w:noProof/>
                <w:webHidden/>
              </w:rPr>
              <w:instrText xml:space="preserve"> PAGEREF _Toc453932741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06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06F" w:rsidRDefault="006F21F4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453932742" w:history="1">
            <w:r w:rsidR="00E8506F" w:rsidRPr="00B07140">
              <w:rPr>
                <w:rStyle w:val="Lienhypertexte"/>
                <w:noProof/>
              </w:rPr>
              <w:t>Savoir-Faire (gestes)</w:t>
            </w:r>
            <w:r w:rsidR="00E850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06F">
              <w:rPr>
                <w:noProof/>
                <w:webHidden/>
              </w:rPr>
              <w:instrText xml:space="preserve"> PAGEREF _Toc453932742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06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06F" w:rsidRDefault="006F21F4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453932743" w:history="1">
            <w:r w:rsidR="00E8506F" w:rsidRPr="00B07140">
              <w:rPr>
                <w:rStyle w:val="Lienhypertexte"/>
                <w:noProof/>
              </w:rPr>
              <w:t>Savoir-Être (attitudes)</w:t>
            </w:r>
            <w:r w:rsidR="00E850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06F">
              <w:rPr>
                <w:noProof/>
                <w:webHidden/>
              </w:rPr>
              <w:instrText xml:space="preserve"> PAGEREF _Toc453932743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06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06F" w:rsidRDefault="006F21F4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453932744" w:history="1">
            <w:r w:rsidR="00E8506F" w:rsidRPr="00B07140">
              <w:rPr>
                <w:rStyle w:val="Lienhypertexte"/>
                <w:noProof/>
              </w:rPr>
              <w:t>Evaluation des savoirs positionnés comme prioritaires</w:t>
            </w:r>
            <w:r w:rsidR="00E850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06F">
              <w:rPr>
                <w:noProof/>
                <w:webHidden/>
              </w:rPr>
              <w:instrText xml:space="preserve"> PAGEREF _Toc453932744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06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06F" w:rsidRDefault="006F21F4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453932745" w:history="1">
            <w:r w:rsidR="00E8506F" w:rsidRPr="00B07140">
              <w:rPr>
                <w:rStyle w:val="Lienhypertexte"/>
                <w:noProof/>
              </w:rPr>
              <w:t>Vocabulaire</w:t>
            </w:r>
            <w:r w:rsidR="00E850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06F">
              <w:rPr>
                <w:noProof/>
                <w:webHidden/>
              </w:rPr>
              <w:instrText xml:space="preserve"> PAGEREF _Toc453932745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06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1A02" w:rsidRDefault="006F21F4">
          <w:r>
            <w:rPr>
              <w:b/>
              <w:bCs/>
            </w:rPr>
            <w:fldChar w:fldCharType="end"/>
          </w:r>
        </w:p>
      </w:sdtContent>
    </w:sdt>
    <w:p w:rsidR="00501A02" w:rsidRPr="00E8506F" w:rsidRDefault="00501A02" w:rsidP="00501A02">
      <w:pPr>
        <w:pStyle w:val="Titre1"/>
        <w:rPr>
          <w:b/>
        </w:rPr>
      </w:pPr>
      <w:bookmarkStart w:id="1" w:name="_Toc453932740"/>
      <w:r w:rsidRPr="00E8506F">
        <w:rPr>
          <w:b/>
        </w:rPr>
        <w:lastRenderedPageBreak/>
        <w:t>Liste des aptitudes ou compétences identifiées</w:t>
      </w:r>
      <w:bookmarkEnd w:id="1"/>
    </w:p>
    <w:p w:rsidR="00501A02" w:rsidRDefault="00501A02" w:rsidP="00501A02">
      <w:pPr>
        <w:pStyle w:val="Titre2"/>
      </w:pPr>
      <w:bookmarkStart w:id="2" w:name="_Toc453932741"/>
      <w:r>
        <w:t>Savoir (connaissances)</w:t>
      </w:r>
      <w:bookmarkEnd w:id="2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6536"/>
      </w:tblGrid>
      <w:tr w:rsidR="00501A02" w:rsidTr="00C22239">
        <w:tc>
          <w:tcPr>
            <w:tcW w:w="3070" w:type="dxa"/>
            <w:shd w:val="clear" w:color="auto" w:fill="auto"/>
          </w:tcPr>
          <w:p w:rsidR="00501A02" w:rsidRDefault="00501A02" w:rsidP="00C22239">
            <w:pPr>
              <w:spacing w:line="240" w:lineRule="auto"/>
              <w:jc w:val="both"/>
            </w:pPr>
            <w:r>
              <w:t>Champ de compétence</w:t>
            </w:r>
          </w:p>
        </w:tc>
        <w:tc>
          <w:tcPr>
            <w:tcW w:w="6536" w:type="dxa"/>
            <w:shd w:val="clear" w:color="auto" w:fill="auto"/>
          </w:tcPr>
          <w:p w:rsidR="00501A02" w:rsidRDefault="00501A02" w:rsidP="00501A02">
            <w:pPr>
              <w:spacing w:line="240" w:lineRule="auto"/>
              <w:jc w:val="both"/>
            </w:pPr>
            <w:r>
              <w:t>Aptitudes ou compétences</w:t>
            </w:r>
          </w:p>
        </w:tc>
      </w:tr>
      <w:tr w:rsidR="00501A02" w:rsidTr="00C22239">
        <w:tc>
          <w:tcPr>
            <w:tcW w:w="3070" w:type="dxa"/>
            <w:shd w:val="clear" w:color="auto" w:fill="auto"/>
          </w:tcPr>
          <w:p w:rsidR="00501A02" w:rsidRDefault="00501A02" w:rsidP="00C22239">
            <w:pPr>
              <w:spacing w:line="240" w:lineRule="auto"/>
              <w:jc w:val="both"/>
            </w:pPr>
            <w:r>
              <w:t>Savoir (connaissances)</w:t>
            </w:r>
          </w:p>
        </w:tc>
        <w:tc>
          <w:tcPr>
            <w:tcW w:w="6536" w:type="dxa"/>
            <w:shd w:val="clear" w:color="auto" w:fill="auto"/>
          </w:tcPr>
          <w:p w:rsidR="00501A02" w:rsidRPr="00DA0647" w:rsidRDefault="00501A02" w:rsidP="00C22239">
            <w:pPr>
              <w:spacing w:line="240" w:lineRule="auto"/>
              <w:jc w:val="both"/>
              <w:rPr>
                <w:b/>
              </w:rPr>
            </w:pPr>
            <w:r w:rsidRPr="00DA0647">
              <w:rPr>
                <w:b/>
              </w:rPr>
              <w:t>Être capable de :</w:t>
            </w:r>
          </w:p>
          <w:p w:rsidR="00501A02" w:rsidRDefault="00501A02" w:rsidP="00C22239">
            <w:pPr>
              <w:spacing w:after="0" w:line="240" w:lineRule="auto"/>
              <w:jc w:val="both"/>
            </w:pPr>
            <w:r>
              <w:t xml:space="preserve">1. </w:t>
            </w:r>
            <w:r w:rsidRPr="00535560">
              <w:t>Nommer sa maladie</w:t>
            </w:r>
            <w:r>
              <w:t xml:space="preserve"> (myélome multiple) et expliquer les notions suivantes avec ses propres mots :</w:t>
            </w:r>
          </w:p>
          <w:p w:rsidR="00501A02" w:rsidRDefault="00501A02" w:rsidP="00501A02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Notion de maladie, maladie chronique, maladie rare</w:t>
            </w:r>
          </w:p>
          <w:p w:rsidR="00501A02" w:rsidRDefault="00501A02" w:rsidP="00501A02">
            <w:pPr>
              <w:numPr>
                <w:ilvl w:val="0"/>
                <w:numId w:val="1"/>
              </w:numPr>
              <w:spacing w:after="0" w:line="240" w:lineRule="auto"/>
            </w:pPr>
            <w:r w:rsidRPr="008F05EB">
              <w:t>S’approprier le vocabulaire de la maladie</w:t>
            </w:r>
          </w:p>
          <w:p w:rsidR="00501A02" w:rsidRDefault="00501A02" w:rsidP="00501A02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Connaître les symptômes de la maladie</w:t>
            </w:r>
          </w:p>
          <w:p w:rsidR="00501A02" w:rsidRDefault="00501A02" w:rsidP="00501A0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</w:pPr>
            <w:r>
              <w:t>Risque de rechute</w:t>
            </w:r>
          </w:p>
          <w:p w:rsidR="00501A02" w:rsidRDefault="00501A02" w:rsidP="00501A02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Parler du globule blanc</w:t>
            </w:r>
          </w:p>
          <w:p w:rsidR="00501A02" w:rsidRDefault="00501A02" w:rsidP="00501A02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Parler d</w:t>
            </w:r>
            <w:r w:rsidR="00EF62F3">
              <w:t>u</w:t>
            </w:r>
            <w:r>
              <w:t xml:space="preserve"> cancer</w:t>
            </w:r>
          </w:p>
          <w:p w:rsidR="00501A02" w:rsidRDefault="00501A02" w:rsidP="00501A02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Parler du pic</w:t>
            </w:r>
          </w:p>
          <w:p w:rsidR="00501A02" w:rsidRDefault="00501A02" w:rsidP="00501A02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Connaître le suivi clinique et biologique de la maladie</w:t>
            </w:r>
          </w:p>
          <w:p w:rsidR="00501A02" w:rsidRDefault="00501A02" w:rsidP="00C22239">
            <w:pPr>
              <w:spacing w:after="0" w:line="240" w:lineRule="auto"/>
              <w:ind w:left="720"/>
              <w:jc w:val="both"/>
            </w:pPr>
          </w:p>
          <w:p w:rsidR="00501A02" w:rsidRDefault="00501A02" w:rsidP="00C22239">
            <w:pPr>
              <w:spacing w:after="0" w:line="240" w:lineRule="auto"/>
              <w:jc w:val="both"/>
            </w:pPr>
            <w:r>
              <w:t>2. Reconnaître les signes d’alerte :</w:t>
            </w:r>
          </w:p>
          <w:p w:rsidR="00501A02" w:rsidRDefault="00501A02" w:rsidP="00501A02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Douleur</w:t>
            </w:r>
          </w:p>
          <w:p w:rsidR="00501A02" w:rsidRDefault="00501A02" w:rsidP="00501A02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Signes de thrombose</w:t>
            </w:r>
          </w:p>
          <w:p w:rsidR="00501A02" w:rsidRDefault="00501A02" w:rsidP="00501A02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Signes infectieux</w:t>
            </w:r>
          </w:p>
          <w:p w:rsidR="00501A02" w:rsidRDefault="00501A02" w:rsidP="00501A02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Signes de neuropathie</w:t>
            </w:r>
          </w:p>
          <w:p w:rsidR="00501A02" w:rsidRDefault="00501A02" w:rsidP="00501A02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Effets indésirables des médicaments</w:t>
            </w:r>
          </w:p>
          <w:p w:rsidR="00501A02" w:rsidRDefault="00501A02" w:rsidP="00C22239">
            <w:pPr>
              <w:spacing w:after="0" w:line="240" w:lineRule="auto"/>
              <w:jc w:val="both"/>
            </w:pPr>
          </w:p>
          <w:p w:rsidR="00501A02" w:rsidRDefault="00501A02" w:rsidP="00C22239">
            <w:pPr>
              <w:spacing w:after="0" w:line="240" w:lineRule="auto"/>
              <w:jc w:val="both"/>
            </w:pPr>
            <w:r>
              <w:t>3. Connaître son traitement :</w:t>
            </w:r>
          </w:p>
          <w:p w:rsidR="00501A02" w:rsidRDefault="00501A02" w:rsidP="00501A0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</w:pPr>
            <w:r>
              <w:t>Nommer ses médicaments</w:t>
            </w:r>
          </w:p>
          <w:p w:rsidR="00501A02" w:rsidRDefault="00501A02" w:rsidP="00501A0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</w:pPr>
            <w:r>
              <w:t>Connaître l’objectif thérapeutique de chaque médicament (« A quoi ça sert ? »)</w:t>
            </w:r>
          </w:p>
          <w:p w:rsidR="00501A02" w:rsidRDefault="00501A02" w:rsidP="00501A0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</w:pPr>
            <w:r>
              <w:t>Identifier les médicaments spécifiques du myélome des autres médicaments</w:t>
            </w:r>
          </w:p>
          <w:p w:rsidR="00501A02" w:rsidRDefault="00501A02" w:rsidP="00501A02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Préciser la posologie et les moments de prise</w:t>
            </w:r>
          </w:p>
          <w:p w:rsidR="00501A02" w:rsidRDefault="00501A02" w:rsidP="00501A0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</w:pPr>
            <w:r>
              <w:t>Comprendre le rythme discontinu du traitement</w:t>
            </w:r>
          </w:p>
          <w:p w:rsidR="00501A02" w:rsidRDefault="00501A02" w:rsidP="00501A0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</w:pPr>
            <w:r>
              <w:t>Comprendre le caractère important de la corticothérapie</w:t>
            </w:r>
          </w:p>
          <w:p w:rsidR="00501A02" w:rsidRDefault="00501A02" w:rsidP="00501A02">
            <w:pPr>
              <w:numPr>
                <w:ilvl w:val="0"/>
                <w:numId w:val="3"/>
              </w:numPr>
              <w:spacing w:after="0" w:line="240" w:lineRule="auto"/>
            </w:pPr>
            <w:r w:rsidRPr="00535560">
              <w:t>Connaître le circuit d’approvisionnement des différents médicaments</w:t>
            </w:r>
          </w:p>
          <w:p w:rsidR="00501A02" w:rsidRDefault="00501A02" w:rsidP="00501A02">
            <w:pPr>
              <w:numPr>
                <w:ilvl w:val="0"/>
                <w:numId w:val="3"/>
              </w:numPr>
              <w:spacing w:after="0" w:line="240" w:lineRule="auto"/>
            </w:pPr>
            <w:r w:rsidRPr="008F05EB">
              <w:t>Décrire les effets secondaires</w:t>
            </w:r>
          </w:p>
          <w:p w:rsidR="00501A02" w:rsidRDefault="00501A02" w:rsidP="00501A02">
            <w:pPr>
              <w:numPr>
                <w:ilvl w:val="0"/>
                <w:numId w:val="3"/>
              </w:numPr>
              <w:spacing w:after="0" w:line="240" w:lineRule="auto"/>
            </w:pPr>
            <w:r>
              <w:t>Connaître les effets du traitement sur la fertilité, sur la vie sexuelle</w:t>
            </w:r>
          </w:p>
          <w:p w:rsidR="00501A02" w:rsidRDefault="00501A02" w:rsidP="00501A02">
            <w:pPr>
              <w:numPr>
                <w:ilvl w:val="0"/>
                <w:numId w:val="3"/>
              </w:numPr>
              <w:spacing w:after="0" w:line="240" w:lineRule="auto"/>
            </w:pPr>
            <w:r>
              <w:t>Connaître le caractère tératogène de certains traitements</w:t>
            </w:r>
          </w:p>
          <w:p w:rsidR="00501A02" w:rsidRDefault="00501A02" w:rsidP="00501A02">
            <w:pPr>
              <w:numPr>
                <w:ilvl w:val="0"/>
                <w:numId w:val="3"/>
              </w:numPr>
              <w:spacing w:after="0" w:line="240" w:lineRule="auto"/>
            </w:pPr>
            <w:r>
              <w:t>Comprendre l’autogreffe</w:t>
            </w:r>
          </w:p>
          <w:p w:rsidR="00501A02" w:rsidRDefault="00501A02" w:rsidP="00501A02">
            <w:pPr>
              <w:numPr>
                <w:ilvl w:val="0"/>
                <w:numId w:val="3"/>
              </w:numPr>
              <w:spacing w:after="0" w:line="240" w:lineRule="auto"/>
            </w:pPr>
            <w:r>
              <w:t>Faire la différence entre autogreffe et allogreffe</w:t>
            </w:r>
          </w:p>
          <w:p w:rsidR="00501A02" w:rsidRDefault="00501A02" w:rsidP="00C22239">
            <w:pPr>
              <w:spacing w:after="0" w:line="240" w:lineRule="auto"/>
            </w:pPr>
          </w:p>
          <w:p w:rsidR="00501A02" w:rsidRDefault="00501A02" w:rsidP="00C22239">
            <w:pPr>
              <w:spacing w:after="0" w:line="240" w:lineRule="auto"/>
            </w:pPr>
            <w:r>
              <w:t>4. Vie quotidienne :</w:t>
            </w:r>
          </w:p>
          <w:p w:rsidR="00501A02" w:rsidRDefault="00501A02" w:rsidP="00501A02">
            <w:pPr>
              <w:numPr>
                <w:ilvl w:val="0"/>
                <w:numId w:val="4"/>
              </w:numPr>
              <w:spacing w:after="0" w:line="240" w:lineRule="auto"/>
            </w:pPr>
            <w:r>
              <w:t>Connaître ses droits</w:t>
            </w:r>
          </w:p>
          <w:p w:rsidR="00501A02" w:rsidRDefault="00501A02" w:rsidP="00501A02">
            <w:pPr>
              <w:numPr>
                <w:ilvl w:val="0"/>
                <w:numId w:val="4"/>
              </w:numPr>
              <w:spacing w:after="0" w:line="240" w:lineRule="auto"/>
            </w:pPr>
            <w:r>
              <w:t>Connaître l’intérêt d’une activité physique</w:t>
            </w:r>
          </w:p>
          <w:p w:rsidR="00501A02" w:rsidRDefault="00501A02" w:rsidP="00501A02">
            <w:pPr>
              <w:numPr>
                <w:ilvl w:val="0"/>
                <w:numId w:val="4"/>
              </w:numPr>
              <w:spacing w:after="0" w:line="240" w:lineRule="auto"/>
            </w:pPr>
            <w:r>
              <w:t>Comprendre que la corticothérapie discontinue n’implique pas obligatoirement un régime strict</w:t>
            </w:r>
          </w:p>
          <w:p w:rsidR="00501A02" w:rsidRDefault="00501A02" w:rsidP="00501A02">
            <w:pPr>
              <w:numPr>
                <w:ilvl w:val="0"/>
                <w:numId w:val="4"/>
              </w:numPr>
              <w:spacing w:after="0" w:line="240" w:lineRule="auto"/>
            </w:pPr>
            <w:r>
              <w:t>Repérer les aliments contenant du sel (si corticothérapie)</w:t>
            </w:r>
          </w:p>
        </w:tc>
      </w:tr>
    </w:tbl>
    <w:p w:rsidR="00501A02" w:rsidRDefault="00501A02" w:rsidP="00501A02"/>
    <w:p w:rsidR="00501A02" w:rsidRDefault="00501A02" w:rsidP="00501A02">
      <w:pPr>
        <w:pStyle w:val="Titre2"/>
      </w:pPr>
      <w:bookmarkStart w:id="3" w:name="_Toc453932742"/>
      <w:r>
        <w:lastRenderedPageBreak/>
        <w:t>Savoir-Faire (gestes)</w:t>
      </w:r>
      <w:bookmarkEnd w:id="3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343"/>
      </w:tblGrid>
      <w:tr w:rsidR="00501A02" w:rsidTr="00501A02">
        <w:trPr>
          <w:trHeight w:val="5859"/>
        </w:trPr>
        <w:tc>
          <w:tcPr>
            <w:tcW w:w="2263" w:type="dxa"/>
            <w:shd w:val="clear" w:color="auto" w:fill="auto"/>
          </w:tcPr>
          <w:p w:rsidR="00501A02" w:rsidRDefault="00501A02" w:rsidP="00C22239">
            <w:pPr>
              <w:spacing w:line="240" w:lineRule="auto"/>
              <w:jc w:val="both"/>
            </w:pPr>
            <w:r>
              <w:t>Savoir-Faire (gestes)</w:t>
            </w:r>
          </w:p>
        </w:tc>
        <w:tc>
          <w:tcPr>
            <w:tcW w:w="7343" w:type="dxa"/>
            <w:shd w:val="clear" w:color="auto" w:fill="auto"/>
          </w:tcPr>
          <w:p w:rsidR="00501A02" w:rsidRPr="00DA0647" w:rsidRDefault="00501A02" w:rsidP="00C22239">
            <w:pPr>
              <w:spacing w:line="240" w:lineRule="auto"/>
              <w:jc w:val="both"/>
              <w:rPr>
                <w:b/>
              </w:rPr>
            </w:pPr>
            <w:r w:rsidRPr="00DA0647">
              <w:rPr>
                <w:b/>
              </w:rPr>
              <w:t>Être capable de :</w:t>
            </w:r>
          </w:p>
          <w:p w:rsidR="00501A02" w:rsidRDefault="00501A02" w:rsidP="00C22239">
            <w:pPr>
              <w:spacing w:after="0" w:line="240" w:lineRule="auto"/>
            </w:pPr>
            <w:r>
              <w:t>1. Savoir quoi faire dans</w:t>
            </w:r>
            <w:r w:rsidRPr="008F05EB">
              <w:t xml:space="preserve"> les situations dangereuses</w:t>
            </w:r>
            <w:r>
              <w:t> :</w:t>
            </w:r>
          </w:p>
          <w:p w:rsidR="00EF62F3" w:rsidRDefault="00501A02" w:rsidP="00501A02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</w:pPr>
            <w:r>
              <w:t>Connaître la conduite à tenir</w:t>
            </w:r>
            <w:r w:rsidR="00EF62F3">
              <w:t xml:space="preserve"> face à : </w:t>
            </w:r>
          </w:p>
          <w:p w:rsidR="00501A02" w:rsidRDefault="00501A02" w:rsidP="00EF62F3">
            <w:pPr>
              <w:numPr>
                <w:ilvl w:val="1"/>
                <w:numId w:val="5"/>
              </w:numPr>
              <w:spacing w:after="0" w:line="240" w:lineRule="auto"/>
              <w:jc w:val="both"/>
            </w:pPr>
            <w:r>
              <w:t>une fièvre</w:t>
            </w:r>
          </w:p>
          <w:p w:rsidR="00501A02" w:rsidRDefault="00501A02" w:rsidP="00EF62F3">
            <w:pPr>
              <w:numPr>
                <w:ilvl w:val="1"/>
                <w:numId w:val="5"/>
              </w:numPr>
              <w:spacing w:after="0" w:line="240" w:lineRule="auto"/>
              <w:jc w:val="both"/>
            </w:pPr>
            <w:r>
              <w:t>des douleurs</w:t>
            </w:r>
          </w:p>
          <w:p w:rsidR="00501A02" w:rsidRDefault="00501A02" w:rsidP="00EF62F3">
            <w:pPr>
              <w:numPr>
                <w:ilvl w:val="1"/>
                <w:numId w:val="5"/>
              </w:numPr>
              <w:spacing w:after="0" w:line="240" w:lineRule="auto"/>
              <w:jc w:val="both"/>
            </w:pPr>
            <w:r>
              <w:t>la fatigue</w:t>
            </w:r>
          </w:p>
          <w:p w:rsidR="00501A02" w:rsidRDefault="00501A02" w:rsidP="00EF62F3">
            <w:pPr>
              <w:numPr>
                <w:ilvl w:val="1"/>
                <w:numId w:val="5"/>
              </w:numPr>
              <w:spacing w:after="0" w:line="240" w:lineRule="auto"/>
              <w:jc w:val="both"/>
            </w:pPr>
            <w:r>
              <w:t>des signes de thromboses</w:t>
            </w:r>
          </w:p>
          <w:p w:rsidR="00501A02" w:rsidRDefault="00501A02" w:rsidP="00EF62F3">
            <w:pPr>
              <w:numPr>
                <w:ilvl w:val="1"/>
                <w:numId w:val="5"/>
              </w:numPr>
              <w:spacing w:after="0" w:line="240" w:lineRule="auto"/>
              <w:jc w:val="both"/>
            </w:pPr>
            <w:r>
              <w:t>des signes infectieux</w:t>
            </w:r>
          </w:p>
          <w:p w:rsidR="00501A02" w:rsidRDefault="00501A02" w:rsidP="00EF62F3">
            <w:pPr>
              <w:numPr>
                <w:ilvl w:val="1"/>
                <w:numId w:val="5"/>
              </w:numPr>
              <w:spacing w:after="0" w:line="240" w:lineRule="auto"/>
              <w:jc w:val="both"/>
            </w:pPr>
            <w:r>
              <w:t>des signes de neuropathie</w:t>
            </w:r>
          </w:p>
          <w:p w:rsidR="00501A02" w:rsidRDefault="00501A02" w:rsidP="00EF62F3">
            <w:pPr>
              <w:numPr>
                <w:ilvl w:val="1"/>
                <w:numId w:val="5"/>
              </w:numPr>
              <w:spacing w:after="0" w:line="240" w:lineRule="auto"/>
              <w:jc w:val="both"/>
            </w:pPr>
            <w:r>
              <w:t>des symptômes</w:t>
            </w:r>
          </w:p>
          <w:p w:rsidR="00501A02" w:rsidRDefault="00501A02" w:rsidP="00501A02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</w:pPr>
            <w:r>
              <w:t>Différencier les symptômes de la maladie et les effets indésirables des traitements</w:t>
            </w:r>
          </w:p>
          <w:p w:rsidR="00501A02" w:rsidRDefault="00501A02" w:rsidP="00C22239">
            <w:pPr>
              <w:spacing w:after="0" w:line="240" w:lineRule="auto"/>
              <w:jc w:val="both"/>
            </w:pPr>
          </w:p>
          <w:p w:rsidR="00501A02" w:rsidRDefault="00501A02" w:rsidP="00C22239">
            <w:pPr>
              <w:spacing w:after="0" w:line="240" w:lineRule="auto"/>
              <w:jc w:val="both"/>
            </w:pPr>
            <w:r>
              <w:t>2. Vivre avec les médicaments</w:t>
            </w:r>
          </w:p>
          <w:p w:rsidR="00501A02" w:rsidRDefault="00501A02" w:rsidP="00501A02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Savoir s’auto médiquer</w:t>
            </w:r>
          </w:p>
          <w:p w:rsidR="00446AD8" w:rsidRDefault="00501A02" w:rsidP="00501A02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Gérer</w:t>
            </w:r>
            <w:r w:rsidR="00446AD8">
              <w:t xml:space="preserve"> : </w:t>
            </w:r>
          </w:p>
          <w:p w:rsidR="00501A02" w:rsidRDefault="00501A02" w:rsidP="00446AD8">
            <w:pPr>
              <w:numPr>
                <w:ilvl w:val="1"/>
                <w:numId w:val="6"/>
              </w:numPr>
              <w:spacing w:after="0" w:line="240" w:lineRule="auto"/>
              <w:jc w:val="both"/>
            </w:pPr>
            <w:r>
              <w:t>son stock de médicaments</w:t>
            </w:r>
          </w:p>
          <w:p w:rsidR="00501A02" w:rsidRDefault="00501A02" w:rsidP="00446AD8">
            <w:pPr>
              <w:numPr>
                <w:ilvl w:val="1"/>
                <w:numId w:val="6"/>
              </w:numPr>
              <w:spacing w:after="0" w:line="240" w:lineRule="auto"/>
              <w:jc w:val="both"/>
            </w:pPr>
            <w:r>
              <w:t>son calendrier d’administration des médicaments</w:t>
            </w:r>
          </w:p>
          <w:p w:rsidR="00446AD8" w:rsidRDefault="00501A02" w:rsidP="00501A02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Savoir quoi faire en cas</w:t>
            </w:r>
            <w:r w:rsidR="00446AD8">
              <w:t> :</w:t>
            </w:r>
          </w:p>
          <w:p w:rsidR="00501A02" w:rsidRDefault="00501A02" w:rsidP="00446AD8">
            <w:pPr>
              <w:numPr>
                <w:ilvl w:val="1"/>
                <w:numId w:val="6"/>
              </w:numPr>
              <w:spacing w:after="0" w:line="240" w:lineRule="auto"/>
              <w:jc w:val="both"/>
            </w:pPr>
            <w:r>
              <w:t>d’effets indésirables du traitement</w:t>
            </w:r>
          </w:p>
          <w:p w:rsidR="00501A02" w:rsidRDefault="00501A02" w:rsidP="00446AD8">
            <w:pPr>
              <w:numPr>
                <w:ilvl w:val="1"/>
                <w:numId w:val="6"/>
              </w:numPr>
              <w:spacing w:after="0" w:line="240" w:lineRule="auto"/>
              <w:jc w:val="both"/>
            </w:pPr>
            <w:r>
              <w:t>d’oubli de prise</w:t>
            </w:r>
          </w:p>
          <w:p w:rsidR="00501A02" w:rsidRDefault="00501A02" w:rsidP="00C22239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Savoir s’auto-injecter des médicaments par voie sous-cutanée (ASE, HBPM, G-CSF par exemple) le cas échéant</w:t>
            </w:r>
          </w:p>
        </w:tc>
      </w:tr>
    </w:tbl>
    <w:p w:rsidR="00501A02" w:rsidRDefault="00501A02" w:rsidP="00501A02">
      <w:pPr>
        <w:pStyle w:val="Titre2"/>
      </w:pPr>
      <w:bookmarkStart w:id="4" w:name="_Toc453932743"/>
      <w:r>
        <w:t>Savoir-Être (attitudes)</w:t>
      </w:r>
      <w:bookmarkEnd w:id="4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343"/>
      </w:tblGrid>
      <w:tr w:rsidR="00501A02" w:rsidTr="00501A02">
        <w:tc>
          <w:tcPr>
            <w:tcW w:w="2263" w:type="dxa"/>
            <w:shd w:val="clear" w:color="auto" w:fill="auto"/>
          </w:tcPr>
          <w:p w:rsidR="00501A02" w:rsidRDefault="00501A02" w:rsidP="00C22239">
            <w:pPr>
              <w:spacing w:line="240" w:lineRule="auto"/>
              <w:jc w:val="both"/>
            </w:pPr>
            <w:r>
              <w:t>Savoir-Être (attitudes)</w:t>
            </w:r>
          </w:p>
        </w:tc>
        <w:tc>
          <w:tcPr>
            <w:tcW w:w="7343" w:type="dxa"/>
            <w:shd w:val="clear" w:color="auto" w:fill="auto"/>
          </w:tcPr>
          <w:p w:rsidR="00501A02" w:rsidRPr="00DA0647" w:rsidRDefault="00501A02" w:rsidP="00C22239">
            <w:pPr>
              <w:spacing w:line="240" w:lineRule="auto"/>
              <w:jc w:val="both"/>
              <w:rPr>
                <w:b/>
              </w:rPr>
            </w:pPr>
            <w:r w:rsidRPr="00DA0647">
              <w:rPr>
                <w:b/>
              </w:rPr>
              <w:t>Être capable de :</w:t>
            </w:r>
          </w:p>
          <w:p w:rsidR="00501A02" w:rsidRDefault="00501A02" w:rsidP="00C22239">
            <w:pPr>
              <w:spacing w:after="0" w:line="240" w:lineRule="auto"/>
            </w:pPr>
            <w:r>
              <w:t>1. Communiquer sur la maladie et son traitement</w:t>
            </w:r>
          </w:p>
          <w:p w:rsidR="00501A02" w:rsidRDefault="00501A02" w:rsidP="00501A02">
            <w:pPr>
              <w:numPr>
                <w:ilvl w:val="0"/>
                <w:numId w:val="7"/>
              </w:numPr>
              <w:spacing w:after="0" w:line="240" w:lineRule="auto"/>
            </w:pPr>
            <w:r>
              <w:t>Communiquer avec les soignants sur la maladie</w:t>
            </w:r>
          </w:p>
          <w:p w:rsidR="00501A02" w:rsidRDefault="00501A02" w:rsidP="00501A02">
            <w:pPr>
              <w:numPr>
                <w:ilvl w:val="0"/>
                <w:numId w:val="7"/>
              </w:numPr>
              <w:spacing w:after="0" w:line="240" w:lineRule="auto"/>
            </w:pPr>
            <w:r>
              <w:t>Expliquer la maladie, les soins à la famille et à l’entourage</w:t>
            </w:r>
          </w:p>
          <w:p w:rsidR="00501A02" w:rsidRDefault="00501A02" w:rsidP="00501A02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Alerter en cas d’effets indésirables du traitement</w:t>
            </w:r>
          </w:p>
          <w:p w:rsidR="00501A02" w:rsidRDefault="00501A02" w:rsidP="00501A02">
            <w:pPr>
              <w:numPr>
                <w:ilvl w:val="0"/>
                <w:numId w:val="7"/>
              </w:numPr>
              <w:spacing w:after="0" w:line="240" w:lineRule="auto"/>
            </w:pPr>
            <w:r>
              <w:t>Savoir appeler en cas de signes d’alerte ou d’aggravation</w:t>
            </w:r>
          </w:p>
          <w:p w:rsidR="00501A02" w:rsidRDefault="00501A02" w:rsidP="00501A02">
            <w:pPr>
              <w:numPr>
                <w:ilvl w:val="0"/>
                <w:numId w:val="7"/>
              </w:numPr>
              <w:spacing w:after="0" w:line="240" w:lineRule="auto"/>
            </w:pPr>
            <w:r>
              <w:t>Savoir demander de l’aide</w:t>
            </w:r>
          </w:p>
          <w:p w:rsidR="00501A02" w:rsidRDefault="00501A02" w:rsidP="00501A02">
            <w:pPr>
              <w:numPr>
                <w:ilvl w:val="0"/>
                <w:numId w:val="7"/>
              </w:numPr>
              <w:spacing w:after="0" w:line="240" w:lineRule="auto"/>
            </w:pPr>
            <w:r w:rsidRPr="002A2FB0">
              <w:t>Évoquer ses difficultés</w:t>
            </w:r>
          </w:p>
          <w:p w:rsidR="00501A02" w:rsidRDefault="00501A02" w:rsidP="00501A02">
            <w:pPr>
              <w:numPr>
                <w:ilvl w:val="0"/>
                <w:numId w:val="7"/>
              </w:numPr>
              <w:spacing w:after="0" w:line="240" w:lineRule="auto"/>
            </w:pPr>
            <w:r>
              <w:t>Exprimer ses difficultés avec ses proches, dans le couple</w:t>
            </w:r>
            <w:r w:rsidR="00446AD8">
              <w:t>,</w:t>
            </w:r>
            <w:r>
              <w:t xml:space="preserve"> à un soignant </w:t>
            </w:r>
          </w:p>
          <w:p w:rsidR="00501A02" w:rsidRDefault="00501A02" w:rsidP="00501A02">
            <w:pPr>
              <w:numPr>
                <w:ilvl w:val="0"/>
                <w:numId w:val="7"/>
              </w:numPr>
              <w:spacing w:after="0" w:line="240" w:lineRule="auto"/>
            </w:pPr>
            <w:r>
              <w:t>Partager ses/son expérience(s)</w:t>
            </w:r>
            <w:r w:rsidR="00446AD8">
              <w:t xml:space="preserve"> </w:t>
            </w:r>
            <w:r>
              <w:t>de la maladie avec quelqu’un</w:t>
            </w:r>
          </w:p>
          <w:p w:rsidR="00501A02" w:rsidRDefault="00501A02" w:rsidP="00C22239">
            <w:pPr>
              <w:spacing w:after="0" w:line="240" w:lineRule="auto"/>
            </w:pPr>
            <w:r>
              <w:t>2. Réagir </w:t>
            </w:r>
            <w:r w:rsidR="00446AD8">
              <w:t xml:space="preserve">face à </w:t>
            </w:r>
            <w:r>
              <w:t>:</w:t>
            </w:r>
          </w:p>
          <w:p w:rsidR="00501A02" w:rsidRDefault="00501A02" w:rsidP="00501A02">
            <w:pPr>
              <w:numPr>
                <w:ilvl w:val="0"/>
                <w:numId w:val="7"/>
              </w:numPr>
              <w:spacing w:after="0" w:line="240" w:lineRule="auto"/>
            </w:pPr>
            <w:r>
              <w:t>une fièvre</w:t>
            </w:r>
          </w:p>
          <w:p w:rsidR="00501A02" w:rsidRDefault="00501A02" w:rsidP="00501A02">
            <w:pPr>
              <w:numPr>
                <w:ilvl w:val="0"/>
                <w:numId w:val="7"/>
              </w:numPr>
              <w:spacing w:after="0" w:line="240" w:lineRule="auto"/>
            </w:pPr>
            <w:r>
              <w:t>des douleurs</w:t>
            </w:r>
          </w:p>
          <w:p w:rsidR="00501A02" w:rsidRDefault="00501A02" w:rsidP="00501A02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 la fatigue</w:t>
            </w:r>
          </w:p>
          <w:p w:rsidR="00501A02" w:rsidRDefault="00501A02" w:rsidP="00501A02">
            <w:pPr>
              <w:numPr>
                <w:ilvl w:val="0"/>
                <w:numId w:val="7"/>
              </w:numPr>
              <w:spacing w:after="0" w:line="240" w:lineRule="auto"/>
            </w:pPr>
            <w:r>
              <w:t>des signes de thromboses</w:t>
            </w:r>
          </w:p>
          <w:p w:rsidR="00501A02" w:rsidRDefault="00501A02" w:rsidP="00501A02">
            <w:pPr>
              <w:numPr>
                <w:ilvl w:val="0"/>
                <w:numId w:val="7"/>
              </w:numPr>
              <w:spacing w:after="0" w:line="240" w:lineRule="auto"/>
            </w:pPr>
            <w:r>
              <w:t>des signes infectieux</w:t>
            </w:r>
          </w:p>
          <w:p w:rsidR="00501A02" w:rsidRDefault="00501A02" w:rsidP="00501A02">
            <w:pPr>
              <w:numPr>
                <w:ilvl w:val="0"/>
                <w:numId w:val="7"/>
              </w:numPr>
              <w:spacing w:after="0" w:line="240" w:lineRule="auto"/>
            </w:pPr>
            <w:r>
              <w:t>des signes de neuropathie</w:t>
            </w:r>
          </w:p>
          <w:p w:rsidR="00501A02" w:rsidRDefault="00501A02" w:rsidP="00501A02">
            <w:pPr>
              <w:numPr>
                <w:ilvl w:val="0"/>
                <w:numId w:val="7"/>
              </w:numPr>
              <w:spacing w:after="0" w:line="240" w:lineRule="auto"/>
            </w:pPr>
            <w:r>
              <w:t>des symptômes</w:t>
            </w:r>
          </w:p>
          <w:p w:rsidR="00501A02" w:rsidRDefault="00501A02" w:rsidP="00C22239">
            <w:pPr>
              <w:spacing w:after="0" w:line="240" w:lineRule="auto"/>
            </w:pPr>
            <w:r>
              <w:t>3. Vie quotidienne</w:t>
            </w:r>
          </w:p>
          <w:p w:rsidR="00501A02" w:rsidRDefault="00501A02" w:rsidP="00501A02">
            <w:pPr>
              <w:numPr>
                <w:ilvl w:val="0"/>
                <w:numId w:val="7"/>
              </w:numPr>
              <w:spacing w:after="0" w:line="240" w:lineRule="auto"/>
            </w:pPr>
            <w:r w:rsidRPr="002A2FB0">
              <w:t>Prendre son traitement régulièrement</w:t>
            </w:r>
          </w:p>
          <w:p w:rsidR="00501A02" w:rsidRDefault="00501A02" w:rsidP="00501A02">
            <w:pPr>
              <w:numPr>
                <w:ilvl w:val="0"/>
                <w:numId w:val="7"/>
              </w:numPr>
              <w:spacing w:after="0" w:line="240" w:lineRule="auto"/>
            </w:pPr>
            <w:r w:rsidRPr="002A2FB0">
              <w:t>Prévoir les modalités de prise</w:t>
            </w:r>
            <w:r>
              <w:t xml:space="preserve"> </w:t>
            </w:r>
          </w:p>
          <w:p w:rsidR="00501A02" w:rsidRDefault="00501A02" w:rsidP="00501A02">
            <w:pPr>
              <w:numPr>
                <w:ilvl w:val="0"/>
                <w:numId w:val="7"/>
              </w:numPr>
              <w:spacing w:after="0" w:line="240" w:lineRule="auto"/>
            </w:pPr>
            <w:r w:rsidRPr="002A2FB0">
              <w:t>Choisir les aliments à privilégier</w:t>
            </w:r>
            <w:r>
              <w:t xml:space="preserve"> (sel)</w:t>
            </w:r>
          </w:p>
          <w:p w:rsidR="00501A02" w:rsidRDefault="00501A02" w:rsidP="00501A02">
            <w:pPr>
              <w:numPr>
                <w:ilvl w:val="0"/>
                <w:numId w:val="7"/>
              </w:numPr>
              <w:spacing w:after="0" w:line="240" w:lineRule="auto"/>
            </w:pPr>
            <w:r w:rsidRPr="002A2FB0">
              <w:t>Pratiquer une activité physique</w:t>
            </w:r>
            <w:r>
              <w:t xml:space="preserve"> adaptée</w:t>
            </w:r>
          </w:p>
          <w:p w:rsidR="00501A02" w:rsidRDefault="00501A02" w:rsidP="00501A02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Accepter une aide extérieure médicale, familiale ou paramédicale </w:t>
            </w:r>
          </w:p>
        </w:tc>
      </w:tr>
    </w:tbl>
    <w:p w:rsidR="00501A02" w:rsidRDefault="00501A02" w:rsidP="00501A02">
      <w:pPr>
        <w:jc w:val="both"/>
      </w:pPr>
    </w:p>
    <w:p w:rsidR="00501A02" w:rsidRDefault="00E8506F" w:rsidP="00501A02">
      <w:pPr>
        <w:pStyle w:val="Titre2"/>
      </w:pPr>
      <w:bookmarkStart w:id="5" w:name="_Toc453932744"/>
      <w:r>
        <w:t>Evaluation des savoirs</w:t>
      </w:r>
      <w:r w:rsidR="00501A02">
        <w:t xml:space="preserve"> </w:t>
      </w:r>
      <w:r>
        <w:t>positionnés comme prioritaires</w:t>
      </w:r>
      <w:bookmarkEnd w:id="5"/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701"/>
      </w:tblGrid>
      <w:tr w:rsidR="00501A02" w:rsidTr="00FA60B3">
        <w:tc>
          <w:tcPr>
            <w:tcW w:w="4361" w:type="dxa"/>
            <w:shd w:val="clear" w:color="auto" w:fill="auto"/>
          </w:tcPr>
          <w:p w:rsidR="00501A02" w:rsidRDefault="00E8506F" w:rsidP="00E8506F">
            <w:pPr>
              <w:jc w:val="both"/>
            </w:pPr>
            <w:r>
              <w:t>Savoirs</w:t>
            </w:r>
          </w:p>
        </w:tc>
        <w:tc>
          <w:tcPr>
            <w:tcW w:w="4701" w:type="dxa"/>
            <w:shd w:val="clear" w:color="auto" w:fill="auto"/>
          </w:tcPr>
          <w:p w:rsidR="00501A02" w:rsidRDefault="00501A02" w:rsidP="00C22239">
            <w:pPr>
              <w:jc w:val="both"/>
            </w:pPr>
            <w:r>
              <w:t>Niveau d’acquisition</w:t>
            </w:r>
          </w:p>
          <w:p w:rsidR="00501A02" w:rsidRDefault="00501A02" w:rsidP="00FA60B3">
            <w:pPr>
              <w:ind w:left="2440" w:hanging="2440"/>
              <w:jc w:val="both"/>
            </w:pPr>
            <w:r>
              <w:t>Non Acquis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A60B3">
              <w:t xml:space="preserve">                     </w:t>
            </w:r>
            <w:r>
              <w:t>Acquis</w:t>
            </w:r>
          </w:p>
        </w:tc>
      </w:tr>
      <w:tr w:rsidR="00501A02" w:rsidTr="00FA60B3">
        <w:tc>
          <w:tcPr>
            <w:tcW w:w="4361" w:type="dxa"/>
            <w:shd w:val="clear" w:color="auto" w:fill="auto"/>
            <w:vAlign w:val="center"/>
          </w:tcPr>
          <w:p w:rsidR="00501A02" w:rsidRPr="003B7E18" w:rsidRDefault="00501A02" w:rsidP="00501A02">
            <w:pPr>
              <w:numPr>
                <w:ilvl w:val="0"/>
                <w:numId w:val="8"/>
              </w:numPr>
            </w:pPr>
            <w:r w:rsidRPr="003B7E18">
              <w:t>Nommer sa maladie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01A02" w:rsidRDefault="00501A02" w:rsidP="00FA60B3">
            <w:pPr>
              <w:jc w:val="center"/>
            </w:pPr>
            <w:r>
              <w:t>0 ------------------------------------------------------------ 10</w:t>
            </w:r>
          </w:p>
        </w:tc>
      </w:tr>
      <w:tr w:rsidR="00501A02" w:rsidTr="00FA60B3">
        <w:tc>
          <w:tcPr>
            <w:tcW w:w="4361" w:type="dxa"/>
            <w:shd w:val="clear" w:color="auto" w:fill="auto"/>
            <w:vAlign w:val="center"/>
          </w:tcPr>
          <w:p w:rsidR="00501A02" w:rsidRPr="003B7E18" w:rsidRDefault="00501A02" w:rsidP="00501A02">
            <w:pPr>
              <w:numPr>
                <w:ilvl w:val="0"/>
                <w:numId w:val="8"/>
              </w:numPr>
            </w:pPr>
            <w:r w:rsidRPr="003B7E18">
              <w:t>Savoir réagir face à une fièvre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01A02" w:rsidRDefault="00501A02" w:rsidP="00FA60B3">
            <w:pPr>
              <w:jc w:val="center"/>
            </w:pPr>
            <w:r>
              <w:t>0 ------------------------------------------------------------ 10</w:t>
            </w:r>
          </w:p>
        </w:tc>
      </w:tr>
      <w:tr w:rsidR="00501A02" w:rsidTr="00FA60B3">
        <w:tc>
          <w:tcPr>
            <w:tcW w:w="4361" w:type="dxa"/>
            <w:shd w:val="clear" w:color="auto" w:fill="auto"/>
            <w:vAlign w:val="center"/>
          </w:tcPr>
          <w:p w:rsidR="00501A02" w:rsidRPr="003B7E18" w:rsidRDefault="00501A02" w:rsidP="00501A02">
            <w:pPr>
              <w:numPr>
                <w:ilvl w:val="0"/>
                <w:numId w:val="8"/>
              </w:numPr>
            </w:pPr>
            <w:r w:rsidRPr="003B7E18">
              <w:t>Savoir réagir face à des douleurs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01A02" w:rsidRDefault="00501A02" w:rsidP="00FA60B3">
            <w:pPr>
              <w:jc w:val="center"/>
            </w:pPr>
            <w:r>
              <w:t>0 ------------------------------------------------------------ 10</w:t>
            </w:r>
          </w:p>
        </w:tc>
      </w:tr>
      <w:tr w:rsidR="00501A02" w:rsidTr="00FA60B3">
        <w:tc>
          <w:tcPr>
            <w:tcW w:w="4361" w:type="dxa"/>
            <w:shd w:val="clear" w:color="auto" w:fill="auto"/>
            <w:vAlign w:val="center"/>
          </w:tcPr>
          <w:p w:rsidR="00501A02" w:rsidRPr="003B7E18" w:rsidRDefault="00501A02" w:rsidP="00501A02">
            <w:pPr>
              <w:numPr>
                <w:ilvl w:val="0"/>
                <w:numId w:val="8"/>
              </w:numPr>
            </w:pPr>
            <w:r w:rsidRPr="003B7E18">
              <w:t>Savoir réagir face à la fatigue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01A02" w:rsidRDefault="00501A02" w:rsidP="00FA60B3">
            <w:pPr>
              <w:jc w:val="center"/>
            </w:pPr>
            <w:r>
              <w:t>0 ------------------------------------------------------------ 10</w:t>
            </w:r>
          </w:p>
        </w:tc>
      </w:tr>
      <w:tr w:rsidR="00501A02" w:rsidTr="00FA60B3">
        <w:tc>
          <w:tcPr>
            <w:tcW w:w="4361" w:type="dxa"/>
            <w:shd w:val="clear" w:color="auto" w:fill="auto"/>
            <w:vAlign w:val="center"/>
          </w:tcPr>
          <w:p w:rsidR="00501A02" w:rsidRPr="003B7E18" w:rsidRDefault="00501A02" w:rsidP="00501A02">
            <w:pPr>
              <w:numPr>
                <w:ilvl w:val="0"/>
                <w:numId w:val="8"/>
              </w:numPr>
            </w:pPr>
            <w:r w:rsidRPr="003B7E18">
              <w:t>Savoir reconnaître des signes de thromboses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01A02" w:rsidRDefault="00501A02" w:rsidP="00FA60B3">
            <w:pPr>
              <w:jc w:val="center"/>
            </w:pPr>
            <w:r>
              <w:t>0 ------------------------------------------------------------ 10</w:t>
            </w:r>
          </w:p>
        </w:tc>
      </w:tr>
      <w:tr w:rsidR="00501A02" w:rsidTr="00FA60B3">
        <w:tc>
          <w:tcPr>
            <w:tcW w:w="4361" w:type="dxa"/>
            <w:shd w:val="clear" w:color="auto" w:fill="auto"/>
            <w:vAlign w:val="center"/>
          </w:tcPr>
          <w:p w:rsidR="00501A02" w:rsidRPr="003B7E18" w:rsidRDefault="00501A02" w:rsidP="00501A02">
            <w:pPr>
              <w:numPr>
                <w:ilvl w:val="0"/>
                <w:numId w:val="8"/>
              </w:numPr>
            </w:pPr>
            <w:r w:rsidRPr="003B7E18">
              <w:t>Réagir face à des signes de thromboses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01A02" w:rsidRDefault="00501A02" w:rsidP="00FA60B3">
            <w:pPr>
              <w:jc w:val="center"/>
            </w:pPr>
            <w:r>
              <w:t>0 ------------------------------------------------------------ 10</w:t>
            </w:r>
          </w:p>
        </w:tc>
      </w:tr>
      <w:tr w:rsidR="00501A02" w:rsidTr="00FA60B3">
        <w:tc>
          <w:tcPr>
            <w:tcW w:w="4361" w:type="dxa"/>
            <w:shd w:val="clear" w:color="auto" w:fill="auto"/>
            <w:vAlign w:val="center"/>
          </w:tcPr>
          <w:p w:rsidR="00501A02" w:rsidRPr="003B7E18" w:rsidRDefault="00501A02" w:rsidP="00501A02">
            <w:pPr>
              <w:numPr>
                <w:ilvl w:val="0"/>
                <w:numId w:val="8"/>
              </w:numPr>
            </w:pPr>
            <w:r w:rsidRPr="003B7E18">
              <w:t>Savoir reconnaître des signes infectieux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01A02" w:rsidRDefault="00501A02" w:rsidP="00FA60B3">
            <w:pPr>
              <w:jc w:val="center"/>
            </w:pPr>
            <w:r>
              <w:t>0 ------------------------------------------------------------ 10</w:t>
            </w:r>
          </w:p>
        </w:tc>
      </w:tr>
      <w:tr w:rsidR="00501A02" w:rsidTr="00FA60B3">
        <w:tc>
          <w:tcPr>
            <w:tcW w:w="4361" w:type="dxa"/>
            <w:shd w:val="clear" w:color="auto" w:fill="auto"/>
            <w:vAlign w:val="center"/>
          </w:tcPr>
          <w:p w:rsidR="00501A02" w:rsidRPr="003B7E18" w:rsidRDefault="00501A02" w:rsidP="00501A02">
            <w:pPr>
              <w:numPr>
                <w:ilvl w:val="0"/>
                <w:numId w:val="8"/>
              </w:numPr>
            </w:pPr>
            <w:r w:rsidRPr="003B7E18">
              <w:t>Réagir face à des signes infectieux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01A02" w:rsidRDefault="00501A02" w:rsidP="00FA60B3">
            <w:pPr>
              <w:jc w:val="center"/>
            </w:pPr>
            <w:r>
              <w:t>0 ------------------------------------------------------------ 10</w:t>
            </w:r>
          </w:p>
        </w:tc>
      </w:tr>
      <w:tr w:rsidR="00501A02" w:rsidTr="00FA60B3">
        <w:tc>
          <w:tcPr>
            <w:tcW w:w="4361" w:type="dxa"/>
            <w:shd w:val="clear" w:color="auto" w:fill="auto"/>
            <w:vAlign w:val="center"/>
          </w:tcPr>
          <w:p w:rsidR="00501A02" w:rsidRPr="003B7E18" w:rsidRDefault="00501A02" w:rsidP="00501A02">
            <w:pPr>
              <w:numPr>
                <w:ilvl w:val="0"/>
                <w:numId w:val="8"/>
              </w:numPr>
            </w:pPr>
            <w:r w:rsidRPr="003B7E18">
              <w:t>Savoir reconnaître des signes de neuropathie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01A02" w:rsidRDefault="00501A02" w:rsidP="00FA60B3">
            <w:pPr>
              <w:jc w:val="center"/>
            </w:pPr>
            <w:r>
              <w:t>0 ------------------------------------------------------------ 10</w:t>
            </w:r>
          </w:p>
        </w:tc>
      </w:tr>
      <w:tr w:rsidR="00501A02" w:rsidTr="00FA60B3">
        <w:tc>
          <w:tcPr>
            <w:tcW w:w="4361" w:type="dxa"/>
            <w:shd w:val="clear" w:color="auto" w:fill="auto"/>
            <w:vAlign w:val="center"/>
          </w:tcPr>
          <w:p w:rsidR="00501A02" w:rsidRPr="003B7E18" w:rsidRDefault="00501A02" w:rsidP="00501A02">
            <w:pPr>
              <w:numPr>
                <w:ilvl w:val="0"/>
                <w:numId w:val="8"/>
              </w:numPr>
            </w:pPr>
            <w:r w:rsidRPr="003B7E18">
              <w:t>Réagir face à des signes de neuropathie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01A02" w:rsidRDefault="00501A02" w:rsidP="00FA60B3">
            <w:pPr>
              <w:jc w:val="center"/>
            </w:pPr>
            <w:r>
              <w:t>0 ------------------------------------------------------------ 10</w:t>
            </w:r>
          </w:p>
        </w:tc>
      </w:tr>
      <w:tr w:rsidR="00501A02" w:rsidTr="00FA60B3">
        <w:tc>
          <w:tcPr>
            <w:tcW w:w="4361" w:type="dxa"/>
            <w:shd w:val="clear" w:color="auto" w:fill="auto"/>
            <w:vAlign w:val="center"/>
          </w:tcPr>
          <w:p w:rsidR="00501A02" w:rsidRPr="003B7E18" w:rsidRDefault="00501A02" w:rsidP="00501A02">
            <w:pPr>
              <w:numPr>
                <w:ilvl w:val="0"/>
                <w:numId w:val="8"/>
              </w:numPr>
            </w:pPr>
            <w:r w:rsidRPr="003B7E18">
              <w:t>Nommer ses médicaments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01A02" w:rsidRDefault="00501A02" w:rsidP="00FA60B3">
            <w:pPr>
              <w:jc w:val="center"/>
            </w:pPr>
            <w:r>
              <w:t>0 ------------------------------------------------------------ 10</w:t>
            </w:r>
          </w:p>
        </w:tc>
      </w:tr>
      <w:tr w:rsidR="00501A02" w:rsidTr="00FA60B3">
        <w:tc>
          <w:tcPr>
            <w:tcW w:w="4361" w:type="dxa"/>
            <w:shd w:val="clear" w:color="auto" w:fill="auto"/>
            <w:vAlign w:val="center"/>
          </w:tcPr>
          <w:p w:rsidR="00501A02" w:rsidRPr="003B7E18" w:rsidRDefault="00501A02" w:rsidP="00501A02">
            <w:pPr>
              <w:numPr>
                <w:ilvl w:val="0"/>
                <w:numId w:val="8"/>
              </w:numPr>
            </w:pPr>
            <w:r w:rsidRPr="003B7E18">
              <w:t>Connaître l’objectif thérapeutique de chaque médicament (« A quoi ça sert ? »)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01A02" w:rsidRDefault="00501A02" w:rsidP="00FA60B3">
            <w:pPr>
              <w:jc w:val="center"/>
            </w:pPr>
            <w:r>
              <w:t>0 ------------------------------------------------------------ 10</w:t>
            </w:r>
          </w:p>
        </w:tc>
      </w:tr>
      <w:tr w:rsidR="00501A02" w:rsidTr="00FA60B3">
        <w:tc>
          <w:tcPr>
            <w:tcW w:w="4361" w:type="dxa"/>
            <w:shd w:val="clear" w:color="auto" w:fill="auto"/>
            <w:vAlign w:val="center"/>
          </w:tcPr>
          <w:p w:rsidR="00501A02" w:rsidRPr="003B7E18" w:rsidRDefault="00501A02" w:rsidP="00501A02">
            <w:pPr>
              <w:numPr>
                <w:ilvl w:val="0"/>
                <w:numId w:val="8"/>
              </w:numPr>
            </w:pPr>
            <w:r w:rsidRPr="003B7E18">
              <w:t>Identifier les médicaments spécifiques du myélome des autres médicaments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01A02" w:rsidRDefault="00501A02" w:rsidP="00FA60B3">
            <w:pPr>
              <w:jc w:val="center"/>
            </w:pPr>
            <w:r>
              <w:t>0 ------------------------------------------------------------ 10</w:t>
            </w:r>
          </w:p>
        </w:tc>
      </w:tr>
      <w:tr w:rsidR="00501A02" w:rsidTr="00FA60B3">
        <w:tc>
          <w:tcPr>
            <w:tcW w:w="4361" w:type="dxa"/>
            <w:shd w:val="clear" w:color="auto" w:fill="auto"/>
            <w:vAlign w:val="center"/>
          </w:tcPr>
          <w:p w:rsidR="00501A02" w:rsidRPr="003B7E18" w:rsidRDefault="00501A02" w:rsidP="00501A02">
            <w:pPr>
              <w:numPr>
                <w:ilvl w:val="0"/>
                <w:numId w:val="8"/>
              </w:numPr>
            </w:pPr>
            <w:r w:rsidRPr="003B7E18">
              <w:t>Comprendre le rythme discontinu du traitement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01A02" w:rsidRDefault="00501A02" w:rsidP="00FA60B3">
            <w:pPr>
              <w:jc w:val="center"/>
            </w:pPr>
            <w:r>
              <w:t>0 ------------------------------------------------------------ 10</w:t>
            </w:r>
          </w:p>
        </w:tc>
      </w:tr>
      <w:tr w:rsidR="00501A02" w:rsidTr="00FA60B3">
        <w:tc>
          <w:tcPr>
            <w:tcW w:w="4361" w:type="dxa"/>
            <w:shd w:val="clear" w:color="auto" w:fill="auto"/>
            <w:vAlign w:val="center"/>
          </w:tcPr>
          <w:p w:rsidR="00501A02" w:rsidRPr="003B7E18" w:rsidRDefault="00501A02" w:rsidP="00501A02">
            <w:pPr>
              <w:numPr>
                <w:ilvl w:val="0"/>
                <w:numId w:val="8"/>
              </w:numPr>
            </w:pPr>
            <w:r w:rsidRPr="003B7E18">
              <w:t>Comprendre le caractère important de la corticothérapie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01A02" w:rsidRDefault="00501A02" w:rsidP="00FA60B3">
            <w:pPr>
              <w:jc w:val="center"/>
            </w:pPr>
            <w:r>
              <w:t>0 ------------------------------------------------------------ 10</w:t>
            </w:r>
          </w:p>
        </w:tc>
      </w:tr>
      <w:tr w:rsidR="00501A02" w:rsidTr="00FA60B3">
        <w:tc>
          <w:tcPr>
            <w:tcW w:w="4361" w:type="dxa"/>
            <w:shd w:val="clear" w:color="auto" w:fill="auto"/>
            <w:vAlign w:val="center"/>
          </w:tcPr>
          <w:p w:rsidR="00501A02" w:rsidRPr="003B7E18" w:rsidRDefault="00501A02" w:rsidP="00501A02">
            <w:pPr>
              <w:numPr>
                <w:ilvl w:val="0"/>
                <w:numId w:val="8"/>
              </w:numPr>
            </w:pPr>
            <w:r>
              <w:t>Être vigilant sur l’auto-médication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01A02" w:rsidRDefault="00501A02" w:rsidP="00FA60B3">
            <w:pPr>
              <w:jc w:val="center"/>
            </w:pPr>
            <w:r>
              <w:t>0 ------------------------------------------------------------ 10</w:t>
            </w:r>
          </w:p>
        </w:tc>
      </w:tr>
    </w:tbl>
    <w:p w:rsidR="00501A02" w:rsidRDefault="00E8506F" w:rsidP="00E8506F">
      <w:pPr>
        <w:pStyle w:val="Titre2"/>
      </w:pPr>
      <w:bookmarkStart w:id="6" w:name="_Toc453932745"/>
      <w:r>
        <w:lastRenderedPageBreak/>
        <w:t>Vocabulaire</w:t>
      </w:r>
      <w:bookmarkEnd w:id="6"/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0"/>
        <w:gridCol w:w="4688"/>
      </w:tblGrid>
      <w:tr w:rsidR="00501A02" w:rsidTr="00C22239">
        <w:tc>
          <w:tcPr>
            <w:tcW w:w="5303" w:type="dxa"/>
            <w:shd w:val="clear" w:color="auto" w:fill="auto"/>
          </w:tcPr>
          <w:p w:rsidR="00501A02" w:rsidRPr="004C6D45" w:rsidRDefault="00501A02" w:rsidP="00C22239">
            <w:pPr>
              <w:jc w:val="both"/>
              <w:rPr>
                <w:b/>
              </w:rPr>
            </w:pPr>
            <w:r w:rsidRPr="004C6D45">
              <w:rPr>
                <w:b/>
              </w:rPr>
              <w:t>Vocabulaire « soignants » (vocabulaire ETP institutionnel)</w:t>
            </w:r>
          </w:p>
        </w:tc>
        <w:tc>
          <w:tcPr>
            <w:tcW w:w="5303" w:type="dxa"/>
            <w:shd w:val="clear" w:color="auto" w:fill="auto"/>
          </w:tcPr>
          <w:p w:rsidR="00501A02" w:rsidRPr="004C6D45" w:rsidRDefault="00501A02" w:rsidP="00C22239">
            <w:pPr>
              <w:jc w:val="both"/>
              <w:rPr>
                <w:b/>
              </w:rPr>
            </w:pPr>
            <w:r w:rsidRPr="004C6D45">
              <w:rPr>
                <w:b/>
              </w:rPr>
              <w:t>Verbatim des patients et proches</w:t>
            </w:r>
          </w:p>
        </w:tc>
      </w:tr>
      <w:tr w:rsidR="00501A02" w:rsidTr="00C22239">
        <w:tc>
          <w:tcPr>
            <w:tcW w:w="5303" w:type="dxa"/>
            <w:shd w:val="clear" w:color="auto" w:fill="auto"/>
          </w:tcPr>
          <w:p w:rsidR="00501A02" w:rsidRDefault="00501A02" w:rsidP="00C22239">
            <w:pPr>
              <w:jc w:val="both"/>
            </w:pPr>
            <w:r w:rsidRPr="009B17A1">
              <w:t>Besoins éducatifs</w:t>
            </w:r>
          </w:p>
        </w:tc>
        <w:tc>
          <w:tcPr>
            <w:tcW w:w="5303" w:type="dxa"/>
            <w:shd w:val="clear" w:color="auto" w:fill="auto"/>
          </w:tcPr>
          <w:p w:rsidR="00501A02" w:rsidRDefault="00501A02" w:rsidP="00C22239">
            <w:pPr>
              <w:jc w:val="both"/>
            </w:pPr>
            <w:r>
              <w:t>B</w:t>
            </w:r>
            <w:r w:rsidRPr="009B17A1">
              <w:t>esoins d’accompagnement</w:t>
            </w:r>
          </w:p>
        </w:tc>
      </w:tr>
      <w:tr w:rsidR="00501A02" w:rsidTr="00C22239">
        <w:tc>
          <w:tcPr>
            <w:tcW w:w="5303" w:type="dxa"/>
            <w:shd w:val="clear" w:color="auto" w:fill="auto"/>
          </w:tcPr>
          <w:p w:rsidR="00501A02" w:rsidRDefault="00501A02" w:rsidP="00C22239">
            <w:pPr>
              <w:jc w:val="both"/>
            </w:pPr>
            <w:r w:rsidRPr="009B17A1">
              <w:t>Référentiel de compétences</w:t>
            </w:r>
          </w:p>
        </w:tc>
        <w:tc>
          <w:tcPr>
            <w:tcW w:w="5303" w:type="dxa"/>
            <w:shd w:val="clear" w:color="auto" w:fill="auto"/>
          </w:tcPr>
          <w:p w:rsidR="00501A02" w:rsidRDefault="00501A02" w:rsidP="00C22239">
            <w:pPr>
              <w:jc w:val="both"/>
            </w:pPr>
            <w:r>
              <w:t>Référentiels d’aptitudes</w:t>
            </w:r>
          </w:p>
          <w:p w:rsidR="00501A02" w:rsidRDefault="00501A02" w:rsidP="00C22239">
            <w:pPr>
              <w:jc w:val="both"/>
            </w:pPr>
            <w:r>
              <w:t>R</w:t>
            </w:r>
            <w:r w:rsidRPr="009B17A1">
              <w:t>éférentiel de ressources</w:t>
            </w:r>
          </w:p>
        </w:tc>
      </w:tr>
      <w:tr w:rsidR="00501A02" w:rsidTr="00FA60B3">
        <w:trPr>
          <w:trHeight w:val="787"/>
        </w:trPr>
        <w:tc>
          <w:tcPr>
            <w:tcW w:w="5303" w:type="dxa"/>
            <w:shd w:val="clear" w:color="auto" w:fill="auto"/>
          </w:tcPr>
          <w:p w:rsidR="00501A02" w:rsidRDefault="00501A02" w:rsidP="00C22239">
            <w:pPr>
              <w:jc w:val="both"/>
            </w:pPr>
            <w:r>
              <w:t>Diagnostic éducatif (DE)</w:t>
            </w:r>
          </w:p>
          <w:p w:rsidR="00501A02" w:rsidRPr="009B17A1" w:rsidRDefault="00501A02" w:rsidP="00C22239">
            <w:pPr>
              <w:jc w:val="both"/>
            </w:pPr>
            <w:r>
              <w:t>Bilan éducatif partagé</w:t>
            </w:r>
          </w:p>
        </w:tc>
        <w:tc>
          <w:tcPr>
            <w:tcW w:w="5303" w:type="dxa"/>
            <w:shd w:val="clear" w:color="auto" w:fill="auto"/>
          </w:tcPr>
          <w:p w:rsidR="00501A02" w:rsidRDefault="00501A02" w:rsidP="00C22239">
            <w:pPr>
              <w:jc w:val="both"/>
            </w:pPr>
            <w:r>
              <w:t>Entretien préalable personnalisé</w:t>
            </w:r>
          </w:p>
        </w:tc>
      </w:tr>
      <w:tr w:rsidR="00501A02" w:rsidTr="00C22239">
        <w:tc>
          <w:tcPr>
            <w:tcW w:w="5303" w:type="dxa"/>
            <w:shd w:val="clear" w:color="auto" w:fill="auto"/>
          </w:tcPr>
          <w:p w:rsidR="00501A02" w:rsidRDefault="00501A02" w:rsidP="00C22239">
            <w:pPr>
              <w:jc w:val="both"/>
            </w:pPr>
            <w:r w:rsidRPr="009B17A1">
              <w:t>Education thérapeutique</w:t>
            </w:r>
          </w:p>
        </w:tc>
        <w:tc>
          <w:tcPr>
            <w:tcW w:w="5303" w:type="dxa"/>
            <w:shd w:val="clear" w:color="auto" w:fill="auto"/>
          </w:tcPr>
          <w:p w:rsidR="00501A02" w:rsidRDefault="00501A02" w:rsidP="00C22239">
            <w:pPr>
              <w:jc w:val="both"/>
            </w:pPr>
            <w:r>
              <w:t>A</w:t>
            </w:r>
            <w:r w:rsidRPr="009B17A1">
              <w:t>ccompagnement thérapeutique</w:t>
            </w:r>
          </w:p>
        </w:tc>
      </w:tr>
      <w:tr w:rsidR="00501A02" w:rsidTr="00C22239">
        <w:tc>
          <w:tcPr>
            <w:tcW w:w="5303" w:type="dxa"/>
            <w:shd w:val="clear" w:color="auto" w:fill="auto"/>
          </w:tcPr>
          <w:p w:rsidR="00501A02" w:rsidRDefault="00501A02" w:rsidP="00C22239">
            <w:pPr>
              <w:jc w:val="both"/>
            </w:pPr>
            <w:r>
              <w:t>P</w:t>
            </w:r>
            <w:r w:rsidRPr="009B17A1">
              <w:t>arcours éducatif</w:t>
            </w:r>
          </w:p>
        </w:tc>
        <w:tc>
          <w:tcPr>
            <w:tcW w:w="5303" w:type="dxa"/>
            <w:shd w:val="clear" w:color="auto" w:fill="auto"/>
          </w:tcPr>
          <w:p w:rsidR="00501A02" w:rsidRDefault="00501A02" w:rsidP="00C22239">
            <w:pPr>
              <w:jc w:val="both"/>
            </w:pPr>
            <w:r>
              <w:t>P</w:t>
            </w:r>
            <w:r w:rsidRPr="009B17A1">
              <w:t>arcours</w:t>
            </w:r>
            <w:r>
              <w:t xml:space="preserve"> </w:t>
            </w:r>
            <w:r w:rsidRPr="009B17A1">
              <w:t>d’accompagnement</w:t>
            </w:r>
          </w:p>
        </w:tc>
      </w:tr>
      <w:tr w:rsidR="00501A02" w:rsidTr="00C22239">
        <w:tc>
          <w:tcPr>
            <w:tcW w:w="5303" w:type="dxa"/>
            <w:shd w:val="clear" w:color="auto" w:fill="auto"/>
          </w:tcPr>
          <w:p w:rsidR="00501A02" w:rsidRDefault="00501A02" w:rsidP="00C22239">
            <w:pPr>
              <w:jc w:val="both"/>
            </w:pPr>
            <w:r w:rsidRPr="00B311DD">
              <w:t>L’ETP doit permettre aux patients d’acquérir et de conserver des capacités et des compétences pour les aider à vivre avec une maladie chronique.</w:t>
            </w:r>
            <w:r>
              <w:t xml:space="preserve"> (</w:t>
            </w:r>
            <w:r w:rsidR="00E8506F">
              <w:t>Définition</w:t>
            </w:r>
            <w:r>
              <w:t xml:space="preserve"> OMS de l’ETP)</w:t>
            </w:r>
          </w:p>
        </w:tc>
        <w:tc>
          <w:tcPr>
            <w:tcW w:w="5303" w:type="dxa"/>
            <w:shd w:val="clear" w:color="auto" w:fill="auto"/>
          </w:tcPr>
          <w:p w:rsidR="00501A02" w:rsidRDefault="00501A02" w:rsidP="00C22239">
            <w:pPr>
              <w:jc w:val="both"/>
            </w:pPr>
            <w:r>
              <w:t>L</w:t>
            </w:r>
            <w:r w:rsidRPr="00B311DD">
              <w:t>’ETP doit permettre aux patients de mettre en valeur et d’exploiter leurs propres ressources pour les aider à vivre de façon optimale leur vie avec une maladie chronique.</w:t>
            </w:r>
          </w:p>
        </w:tc>
      </w:tr>
    </w:tbl>
    <w:p w:rsidR="000904F2" w:rsidRDefault="00501A02" w:rsidP="00FA60B3">
      <w:pPr>
        <w:jc w:val="both"/>
      </w:pPr>
      <w:r>
        <w:t>Pour en savoir plus consulter l</w:t>
      </w:r>
      <w:r w:rsidR="00E8506F">
        <w:t>e</w:t>
      </w:r>
      <w:r>
        <w:t xml:space="preserve"> rapport du GT </w:t>
      </w:r>
      <w:r w:rsidR="00120A16">
        <w:t>publié dans la revue</w:t>
      </w:r>
      <w:r w:rsidR="00556142">
        <w:t xml:space="preserve"> </w:t>
      </w:r>
      <w:r w:rsidR="00556142" w:rsidRPr="00FA60B3">
        <w:t>« H</w:t>
      </w:r>
      <w:r w:rsidR="00120A16" w:rsidRPr="00FA60B3">
        <w:t>ématologie</w:t>
      </w:r>
      <w:r w:rsidR="00556142" w:rsidRPr="00FA60B3">
        <w:t xml:space="preserve"> » </w:t>
      </w:r>
      <w:r w:rsidR="00556142">
        <w:t xml:space="preserve">en date du </w:t>
      </w:r>
      <w:r>
        <w:t>: lien</w:t>
      </w:r>
    </w:p>
    <w:sectPr w:rsidR="000904F2" w:rsidSect="00FA60B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11B" w:rsidRDefault="0012411B" w:rsidP="000551B0">
      <w:pPr>
        <w:spacing w:after="0" w:line="240" w:lineRule="auto"/>
      </w:pPr>
      <w:r>
        <w:separator/>
      </w:r>
    </w:p>
  </w:endnote>
  <w:endnote w:type="continuationSeparator" w:id="0">
    <w:p w:rsidR="0012411B" w:rsidRDefault="0012411B" w:rsidP="0005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11B" w:rsidRDefault="0012411B" w:rsidP="000551B0">
      <w:pPr>
        <w:spacing w:after="0" w:line="240" w:lineRule="auto"/>
      </w:pPr>
      <w:r>
        <w:separator/>
      </w:r>
    </w:p>
  </w:footnote>
  <w:footnote w:type="continuationSeparator" w:id="0">
    <w:p w:rsidR="0012411B" w:rsidRDefault="0012411B" w:rsidP="00055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4A8F"/>
    <w:multiLevelType w:val="hybridMultilevel"/>
    <w:tmpl w:val="1896A5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694D"/>
    <w:multiLevelType w:val="hybridMultilevel"/>
    <w:tmpl w:val="EA184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538D7"/>
    <w:multiLevelType w:val="hybridMultilevel"/>
    <w:tmpl w:val="83DC3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02CE9"/>
    <w:multiLevelType w:val="hybridMultilevel"/>
    <w:tmpl w:val="52201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E05B8"/>
    <w:multiLevelType w:val="hybridMultilevel"/>
    <w:tmpl w:val="1862E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46B77"/>
    <w:multiLevelType w:val="hybridMultilevel"/>
    <w:tmpl w:val="09740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D341A"/>
    <w:multiLevelType w:val="hybridMultilevel"/>
    <w:tmpl w:val="2496D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92349"/>
    <w:multiLevelType w:val="hybridMultilevel"/>
    <w:tmpl w:val="D4042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3E0"/>
    <w:rsid w:val="000551B0"/>
    <w:rsid w:val="000904F2"/>
    <w:rsid w:val="000F4935"/>
    <w:rsid w:val="00120A16"/>
    <w:rsid w:val="0012411B"/>
    <w:rsid w:val="00162D19"/>
    <w:rsid w:val="001B5D48"/>
    <w:rsid w:val="002554A9"/>
    <w:rsid w:val="00276164"/>
    <w:rsid w:val="002977E2"/>
    <w:rsid w:val="00333561"/>
    <w:rsid w:val="00347F3A"/>
    <w:rsid w:val="003F489B"/>
    <w:rsid w:val="00446AD8"/>
    <w:rsid w:val="00464FA9"/>
    <w:rsid w:val="004B72E1"/>
    <w:rsid w:val="004C5FF7"/>
    <w:rsid w:val="004E25E8"/>
    <w:rsid w:val="00501A02"/>
    <w:rsid w:val="00556142"/>
    <w:rsid w:val="005A2D6D"/>
    <w:rsid w:val="00622CD6"/>
    <w:rsid w:val="006F21F4"/>
    <w:rsid w:val="007147D2"/>
    <w:rsid w:val="00821190"/>
    <w:rsid w:val="008925D2"/>
    <w:rsid w:val="008D19EF"/>
    <w:rsid w:val="009445E6"/>
    <w:rsid w:val="009C5C04"/>
    <w:rsid w:val="00AA5063"/>
    <w:rsid w:val="00AA7166"/>
    <w:rsid w:val="00B01B2F"/>
    <w:rsid w:val="00B01E09"/>
    <w:rsid w:val="00B22979"/>
    <w:rsid w:val="00B654FD"/>
    <w:rsid w:val="00BC61AF"/>
    <w:rsid w:val="00E04AE5"/>
    <w:rsid w:val="00E54D01"/>
    <w:rsid w:val="00E73FAA"/>
    <w:rsid w:val="00E7552A"/>
    <w:rsid w:val="00E8506F"/>
    <w:rsid w:val="00EC5324"/>
    <w:rsid w:val="00EF62F3"/>
    <w:rsid w:val="00F015D2"/>
    <w:rsid w:val="00F103E0"/>
    <w:rsid w:val="00FA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E0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01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1A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1A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01A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01A02"/>
    <w:pPr>
      <w:spacing w:line="259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A60B3"/>
    <w:pPr>
      <w:tabs>
        <w:tab w:val="right" w:leader="dot" w:pos="9062"/>
      </w:tabs>
      <w:spacing w:after="100"/>
      <w:jc w:val="center"/>
    </w:pPr>
    <w:rPr>
      <w:b/>
      <w:noProof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501A02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501A02"/>
    <w:rPr>
      <w:color w:val="0563C1" w:themeColor="hyperlink"/>
      <w:u w:val="single"/>
    </w:rPr>
  </w:style>
  <w:style w:type="paragraph" w:customStyle="1" w:styleId="bodytext">
    <w:name w:val="bodytext"/>
    <w:basedOn w:val="Normal"/>
    <w:rsid w:val="00556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142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5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51B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5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51B0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944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45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45E6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4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45E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57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87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0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7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C877-12AD-4964-9C99-114A4E30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1642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DELCOUR</dc:creator>
  <cp:lastModifiedBy>COLL</cp:lastModifiedBy>
  <cp:revision>4</cp:revision>
  <dcterms:created xsi:type="dcterms:W3CDTF">2016-06-25T20:14:00Z</dcterms:created>
  <dcterms:modified xsi:type="dcterms:W3CDTF">2016-09-09T19:17:00Z</dcterms:modified>
</cp:coreProperties>
</file>